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6BF10">
      <w:pPr>
        <w:jc w:val="center"/>
        <w:rPr>
          <w:rFonts w:hint="eastAsia" w:ascii="方正小标宋简体" w:eastAsia="方正小标宋简体" w:cs="仿宋_GB2312"/>
          <w:bCs/>
          <w:color w:val="auto"/>
          <w:sz w:val="36"/>
          <w:szCs w:val="32"/>
        </w:rPr>
      </w:pPr>
      <w:r>
        <w:rPr>
          <w:rFonts w:hint="eastAsia" w:ascii="方正小标宋简体" w:eastAsia="方正小标宋简体" w:cs="仿宋_GB2312"/>
          <w:bCs/>
          <w:color w:val="auto"/>
          <w:sz w:val="36"/>
          <w:szCs w:val="32"/>
          <w:lang w:eastAsia="zh-CN"/>
        </w:rPr>
        <w:t>团体标准</w:t>
      </w:r>
      <w:r>
        <w:rPr>
          <w:rFonts w:hint="eastAsia" w:ascii="方正小标宋简体" w:eastAsia="方正小标宋简体" w:cs="仿宋_GB2312"/>
          <w:bCs/>
          <w:color w:val="auto"/>
          <w:sz w:val="36"/>
          <w:szCs w:val="32"/>
        </w:rPr>
        <w:t>《</w:t>
      </w:r>
      <w:r>
        <w:rPr>
          <w:rFonts w:hint="eastAsia" w:ascii="方正小标宋简体" w:eastAsia="方正小标宋简体" w:cs="仿宋_GB2312"/>
          <w:bCs/>
          <w:color w:val="auto"/>
          <w:sz w:val="36"/>
          <w:szCs w:val="32"/>
          <w:lang w:val="en-US" w:eastAsia="zh-CN"/>
        </w:rPr>
        <w:t>成人肺结核排痰护理技术规范</w:t>
      </w:r>
      <w:r>
        <w:rPr>
          <w:rFonts w:hint="eastAsia" w:ascii="方正小标宋简体" w:eastAsia="方正小标宋简体" w:cs="仿宋_GB2312"/>
          <w:bCs/>
          <w:color w:val="auto"/>
          <w:sz w:val="36"/>
          <w:szCs w:val="32"/>
        </w:rPr>
        <w:t>》（征求意见稿）编制说明</w:t>
      </w:r>
    </w:p>
    <w:p w14:paraId="68BFA4C9">
      <w:pPr>
        <w:jc w:val="center"/>
        <w:rPr>
          <w:rFonts w:hint="eastAsia" w:ascii="方正小标宋简体" w:eastAsia="方正小标宋简体" w:cs="仿宋_GB2312"/>
          <w:bCs/>
          <w:color w:val="auto"/>
          <w:sz w:val="18"/>
          <w:szCs w:val="18"/>
        </w:rPr>
      </w:pPr>
    </w:p>
    <w:p w14:paraId="455D383A">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4F201B2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w:t>
      </w:r>
      <w:r>
        <w:rPr>
          <w:rFonts w:hint="eastAsia" w:ascii="仿宋_GB2312" w:eastAsia="仿宋_GB2312"/>
          <w:color w:val="auto"/>
          <w:sz w:val="28"/>
          <w:szCs w:val="28"/>
          <w:lang w:eastAsia="zh-CN"/>
        </w:rPr>
        <w:t>广西标准化协会</w:t>
      </w:r>
      <w:r>
        <w:rPr>
          <w:rFonts w:hint="eastAsia" w:ascii="仿宋_GB2312" w:eastAsia="仿宋_GB2312"/>
          <w:color w:val="auto"/>
          <w:sz w:val="28"/>
          <w:szCs w:val="28"/>
        </w:rPr>
        <w:t>关于下达202</w:t>
      </w:r>
      <w:r>
        <w:rPr>
          <w:rFonts w:hint="default" w:ascii="仿宋_GB2312" w:eastAsia="仿宋_GB2312"/>
          <w:color w:val="auto"/>
          <w:sz w:val="28"/>
          <w:szCs w:val="28"/>
          <w:lang w:val="en" w:eastAsia="zh-CN"/>
        </w:rPr>
        <w:t>5</w:t>
      </w:r>
      <w:r>
        <w:rPr>
          <w:rFonts w:hint="eastAsia" w:ascii="仿宋_GB2312" w:eastAsia="仿宋_GB2312"/>
          <w:color w:val="auto"/>
          <w:sz w:val="28"/>
          <w:szCs w:val="28"/>
        </w:rPr>
        <w:t>年</w:t>
      </w:r>
      <w:r>
        <w:rPr>
          <w:rFonts w:hint="eastAsia" w:ascii="仿宋_GB2312" w:eastAsia="仿宋_GB2312"/>
          <w:color w:val="auto"/>
          <w:sz w:val="28"/>
          <w:szCs w:val="28"/>
          <w:lang w:eastAsia="zh-CN"/>
        </w:rPr>
        <w:t>第二十四</w:t>
      </w:r>
      <w:r>
        <w:rPr>
          <w:rFonts w:hint="eastAsia" w:ascii="仿宋_GB2312" w:eastAsia="仿宋_GB2312"/>
          <w:color w:val="auto"/>
          <w:sz w:val="28"/>
          <w:szCs w:val="28"/>
        </w:rPr>
        <w:t>批团体标准制修订项目计划的通知》（桂标协〔202</w:t>
      </w:r>
      <w:r>
        <w:rPr>
          <w:rFonts w:hint="default" w:ascii="仿宋_GB2312" w:eastAsia="仿宋_GB2312"/>
          <w:color w:val="auto"/>
          <w:sz w:val="28"/>
          <w:szCs w:val="28"/>
          <w:lang w:val="en" w:eastAsia="zh-CN"/>
        </w:rPr>
        <w:t>5</w:t>
      </w:r>
      <w:r>
        <w:rPr>
          <w:rFonts w:hint="eastAsia" w:ascii="仿宋_GB2312" w:eastAsia="仿宋_GB2312"/>
          <w:color w:val="auto"/>
          <w:sz w:val="28"/>
          <w:szCs w:val="28"/>
        </w:rPr>
        <w:t>〕</w:t>
      </w:r>
      <w:r>
        <w:rPr>
          <w:rFonts w:hint="default" w:ascii="仿宋_GB2312" w:eastAsia="仿宋_GB2312"/>
          <w:color w:val="auto"/>
          <w:sz w:val="28"/>
          <w:szCs w:val="28"/>
          <w:lang w:val="en"/>
        </w:rPr>
        <w:t>2</w:t>
      </w:r>
      <w:r>
        <w:rPr>
          <w:rFonts w:hint="eastAsia" w:ascii="仿宋_GB2312" w:eastAsia="仿宋_GB2312"/>
          <w:color w:val="auto"/>
          <w:sz w:val="28"/>
          <w:szCs w:val="28"/>
          <w:lang w:val="en-US" w:eastAsia="zh-CN"/>
        </w:rPr>
        <w:t>89</w:t>
      </w:r>
      <w:r>
        <w:rPr>
          <w:rFonts w:hint="eastAsia" w:ascii="仿宋_GB2312" w:eastAsia="仿宋_GB2312"/>
          <w:color w:val="auto"/>
          <w:sz w:val="28"/>
          <w:szCs w:val="28"/>
        </w:rPr>
        <w:t>号）精神，由</w:t>
      </w:r>
      <w:r>
        <w:rPr>
          <w:rFonts w:hint="eastAsia" w:ascii="仿宋_GB2312" w:eastAsia="仿宋_GB2312"/>
          <w:color w:val="auto"/>
          <w:sz w:val="28"/>
          <w:szCs w:val="28"/>
          <w:lang w:eastAsia="zh-CN"/>
        </w:rPr>
        <w:t>广西护理学会</w:t>
      </w:r>
      <w:r>
        <w:rPr>
          <w:rFonts w:hint="eastAsia" w:ascii="仿宋_GB2312" w:eastAsia="仿宋_GB2312"/>
          <w:color w:val="auto"/>
          <w:sz w:val="28"/>
          <w:szCs w:val="28"/>
        </w:rPr>
        <w:t>提出，南宁市第四人民医院、广西医科大学第一附属医院、广西中医药大学附属瑞康医院、首都医科大学附属北京胸科医院、云南省传染病医院、上海市公共卫生临床中心、苏州市第五人民医院、右江民族医学院附属医院等单位共同起草的团体标准《</w:t>
      </w:r>
      <w:r>
        <w:rPr>
          <w:rFonts w:hint="eastAsia" w:ascii="仿宋_GB2312" w:eastAsia="仿宋_GB2312"/>
          <w:color w:val="auto"/>
          <w:sz w:val="28"/>
          <w:szCs w:val="28"/>
          <w:lang w:eastAsia="zh-CN"/>
        </w:rPr>
        <w:t>成人肺结核排痰护理技术规范</w:t>
      </w:r>
      <w:r>
        <w:rPr>
          <w:rFonts w:hint="eastAsia" w:ascii="仿宋_GB2312" w:eastAsia="仿宋_GB2312"/>
          <w:color w:val="auto"/>
          <w:sz w:val="28"/>
          <w:szCs w:val="28"/>
        </w:rPr>
        <w:t>》（项目编号</w:t>
      </w:r>
      <w:r>
        <w:rPr>
          <w:rFonts w:hint="eastAsia" w:ascii="仿宋_GB2312" w:eastAsia="仿宋_GB2312"/>
          <w:color w:val="auto"/>
          <w:sz w:val="28"/>
          <w:szCs w:val="28"/>
          <w:lang w:eastAsia="zh-CN"/>
        </w:rPr>
        <w:t>：</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2403</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6EDF19EF">
      <w:pPr>
        <w:spacing w:line="520" w:lineRule="exact"/>
        <w:ind w:firstLine="560" w:firstLineChars="200"/>
        <w:rPr>
          <w:rFonts w:hint="eastAsia" w:ascii="仿宋_GB2312" w:eastAsia="仿宋_GB2312"/>
          <w:color w:val="auto"/>
          <w:sz w:val="32"/>
          <w:szCs w:val="32"/>
          <w:lang w:eastAsia="zh-CN"/>
        </w:rPr>
      </w:pPr>
      <w:r>
        <w:rPr>
          <w:rFonts w:hint="eastAsia" w:ascii="仿宋_GB2312" w:eastAsia="仿宋_GB2312"/>
          <w:color w:val="auto"/>
          <w:sz w:val="28"/>
          <w:szCs w:val="28"/>
        </w:rPr>
        <w:t>为高质量编制</w:t>
      </w:r>
      <w:r>
        <w:rPr>
          <w:rFonts w:hint="eastAsia" w:ascii="仿宋_GB2312" w:eastAsia="仿宋_GB2312"/>
          <w:color w:val="auto"/>
          <w:sz w:val="28"/>
          <w:szCs w:val="28"/>
          <w:lang w:val="en-US" w:eastAsia="zh-CN"/>
        </w:rPr>
        <w:t>团体</w:t>
      </w:r>
      <w:r>
        <w:rPr>
          <w:rFonts w:hint="eastAsia" w:ascii="仿宋_GB2312" w:eastAsia="仿宋_GB2312"/>
          <w:color w:val="auto"/>
          <w:sz w:val="28"/>
          <w:szCs w:val="28"/>
        </w:rPr>
        <w:t>标准《</w:t>
      </w:r>
      <w:r>
        <w:rPr>
          <w:rFonts w:hint="eastAsia" w:ascii="仿宋_GB2312" w:eastAsia="仿宋_GB2312"/>
          <w:color w:val="auto"/>
          <w:sz w:val="28"/>
          <w:szCs w:val="28"/>
          <w:lang w:eastAsia="zh-CN"/>
        </w:rPr>
        <w:t>成人肺结核排痰护理技术规范</w:t>
      </w:r>
      <w:r>
        <w:rPr>
          <w:rFonts w:hint="eastAsia" w:ascii="仿宋_GB2312" w:eastAsia="仿宋_GB2312"/>
          <w:color w:val="auto"/>
          <w:sz w:val="28"/>
          <w:szCs w:val="28"/>
        </w:rPr>
        <w:t>》，由起草单位成立标准编制工作组并进行如下分工：</w:t>
      </w:r>
    </w:p>
    <w:tbl>
      <w:tblPr>
        <w:tblStyle w:val="13"/>
        <w:tblW w:w="9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1287"/>
        <w:gridCol w:w="1127"/>
        <w:gridCol w:w="1948"/>
        <w:gridCol w:w="3778"/>
      </w:tblGrid>
      <w:tr w14:paraId="6470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5339FAF">
            <w:pPr>
              <w:keepNext w:val="0"/>
              <w:keepLines w:val="0"/>
              <w:suppressLineNumbers w:val="0"/>
              <w:spacing w:before="0" w:beforeAutospacing="0" w:after="0" w:afterAutospacing="0"/>
              <w:ind w:left="0" w:right="0"/>
              <w:jc w:val="center"/>
              <w:rPr>
                <w:rFonts w:hint="default" w:ascii="仿宋" w:hAnsi="仿宋" w:eastAsia="仿宋" w:cs="仿宋"/>
                <w:b/>
                <w:color w:val="auto"/>
                <w:sz w:val="32"/>
                <w:szCs w:val="32"/>
              </w:rPr>
            </w:pPr>
            <w:r>
              <w:rPr>
                <w:rFonts w:hint="eastAsia" w:ascii="仿宋" w:hAnsi="仿宋" w:eastAsia="仿宋" w:cs="仿宋"/>
                <w:b/>
                <w:color w:val="auto"/>
                <w:sz w:val="32"/>
                <w:szCs w:val="32"/>
              </w:rPr>
              <w:t>姓名</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FAE09F0">
            <w:pPr>
              <w:keepNext w:val="0"/>
              <w:keepLines w:val="0"/>
              <w:suppressLineNumbers w:val="0"/>
              <w:spacing w:before="0" w:beforeAutospacing="0" w:after="0" w:afterAutospacing="0"/>
              <w:ind w:left="0" w:right="0"/>
              <w:jc w:val="center"/>
              <w:rPr>
                <w:rFonts w:hint="default" w:ascii="仿宋" w:hAnsi="仿宋" w:eastAsia="仿宋" w:cs="仿宋"/>
                <w:b/>
                <w:color w:val="auto"/>
                <w:sz w:val="32"/>
                <w:szCs w:val="32"/>
              </w:rPr>
            </w:pPr>
            <w:r>
              <w:rPr>
                <w:rFonts w:hint="eastAsia" w:ascii="仿宋" w:hAnsi="仿宋" w:eastAsia="仿宋" w:cs="仿宋"/>
                <w:b/>
                <w:color w:val="auto"/>
                <w:sz w:val="32"/>
                <w:szCs w:val="32"/>
              </w:rPr>
              <w:t>职务/职称</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737558E">
            <w:pPr>
              <w:keepNext w:val="0"/>
              <w:keepLines w:val="0"/>
              <w:suppressLineNumbers w:val="0"/>
              <w:spacing w:before="0" w:beforeAutospacing="0" w:after="0" w:afterAutospacing="0"/>
              <w:ind w:left="0" w:right="0"/>
              <w:jc w:val="center"/>
              <w:rPr>
                <w:rFonts w:hint="default" w:ascii="仿宋" w:hAnsi="仿宋" w:eastAsia="仿宋" w:cs="仿宋"/>
                <w:b/>
                <w:color w:val="auto"/>
                <w:sz w:val="32"/>
                <w:szCs w:val="32"/>
              </w:rPr>
            </w:pPr>
            <w:r>
              <w:rPr>
                <w:rFonts w:hint="eastAsia" w:ascii="仿宋" w:hAnsi="仿宋" w:eastAsia="仿宋" w:cs="仿宋"/>
                <w:b/>
                <w:color w:val="auto"/>
                <w:sz w:val="32"/>
                <w:szCs w:val="32"/>
              </w:rPr>
              <w:t>从事</w:t>
            </w:r>
          </w:p>
          <w:p w14:paraId="30BE874D">
            <w:pPr>
              <w:keepNext w:val="0"/>
              <w:keepLines w:val="0"/>
              <w:suppressLineNumbers w:val="0"/>
              <w:spacing w:before="0" w:beforeAutospacing="0" w:after="0" w:afterAutospacing="0"/>
              <w:ind w:left="0" w:right="0"/>
              <w:jc w:val="center"/>
              <w:rPr>
                <w:rFonts w:hint="default" w:ascii="仿宋" w:hAnsi="仿宋" w:eastAsia="仿宋" w:cs="仿宋"/>
                <w:b/>
                <w:color w:val="auto"/>
                <w:sz w:val="32"/>
                <w:szCs w:val="32"/>
              </w:rPr>
            </w:pPr>
            <w:r>
              <w:rPr>
                <w:rFonts w:hint="eastAsia" w:ascii="仿宋" w:hAnsi="仿宋" w:eastAsia="仿宋" w:cs="仿宋"/>
                <w:b/>
                <w:color w:val="auto"/>
                <w:sz w:val="32"/>
                <w:szCs w:val="32"/>
              </w:rPr>
              <w:t>专业</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2CD1B46">
            <w:pPr>
              <w:keepNext w:val="0"/>
              <w:keepLines w:val="0"/>
              <w:suppressLineNumbers w:val="0"/>
              <w:spacing w:before="0" w:beforeAutospacing="0" w:after="0" w:afterAutospacing="0"/>
              <w:ind w:left="0" w:right="0"/>
              <w:jc w:val="center"/>
              <w:rPr>
                <w:rFonts w:hint="default" w:ascii="仿宋" w:hAnsi="仿宋" w:eastAsia="仿宋" w:cs="仿宋"/>
                <w:b/>
                <w:color w:val="auto"/>
                <w:sz w:val="32"/>
                <w:szCs w:val="32"/>
              </w:rPr>
            </w:pPr>
            <w:r>
              <w:rPr>
                <w:rFonts w:hint="eastAsia" w:ascii="仿宋" w:hAnsi="仿宋" w:eastAsia="仿宋" w:cs="仿宋"/>
                <w:b/>
                <w:color w:val="auto"/>
                <w:sz w:val="32"/>
                <w:szCs w:val="32"/>
              </w:rPr>
              <w:t>工作单位</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CE3856D">
            <w:pPr>
              <w:keepNext w:val="0"/>
              <w:keepLines w:val="0"/>
              <w:suppressLineNumbers w:val="0"/>
              <w:spacing w:before="0" w:beforeAutospacing="0" w:after="0" w:afterAutospacing="0"/>
              <w:ind w:left="0" w:right="0"/>
              <w:jc w:val="left"/>
              <w:rPr>
                <w:rFonts w:hint="default" w:ascii="仿宋" w:hAnsi="仿宋" w:eastAsia="仿宋" w:cs="仿宋"/>
                <w:b/>
                <w:color w:val="auto"/>
                <w:sz w:val="32"/>
                <w:szCs w:val="32"/>
              </w:rPr>
            </w:pPr>
            <w:r>
              <w:rPr>
                <w:rFonts w:hint="eastAsia" w:ascii="仿宋" w:hAnsi="仿宋" w:eastAsia="仿宋" w:cs="仿宋"/>
                <w:b/>
                <w:color w:val="auto"/>
                <w:sz w:val="32"/>
                <w:szCs w:val="32"/>
              </w:rPr>
              <w:t>主要负责工作</w:t>
            </w:r>
          </w:p>
        </w:tc>
      </w:tr>
      <w:tr w14:paraId="7325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6322B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龚贝贝</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F8841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护理部主任/主任护师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BDC98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C5659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4A293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bidi="ar"/>
              </w:rPr>
            </w:pPr>
            <w:r>
              <w:rPr>
                <w:rFonts w:hint="eastAsia" w:ascii="仿宋_GB2312" w:hAnsi="仿宋_GB2312" w:eastAsia="仿宋_GB2312" w:cs="仿宋_GB2312"/>
                <w:color w:val="auto"/>
                <w:sz w:val="20"/>
                <w:szCs w:val="20"/>
                <w:lang w:bidi="ar"/>
              </w:rPr>
              <w:t>统筹主持标准编制工作</w:t>
            </w:r>
          </w:p>
        </w:tc>
      </w:tr>
      <w:tr w14:paraId="5A18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DB327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邵宏华</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F5908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副院长/副主任医师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C3BA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临床医疗</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D475B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F4CF0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参与标准编制工作，组织人员进行标准发布后的宣贯培训，质量控制</w:t>
            </w:r>
          </w:p>
        </w:tc>
      </w:tr>
      <w:tr w14:paraId="6EA0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5F21A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黄海妹</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E1915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副护士长/主管护师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9349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66C31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57BCAC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参与标准文本及编制说明编写，质量控制</w:t>
            </w:r>
          </w:p>
        </w:tc>
      </w:tr>
      <w:tr w14:paraId="4376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DF293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邱小芩</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678E9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护理部执行主任/主任护师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738EC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BB12A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中山大学附属第一医院广西医院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594E9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078AE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2996C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张林</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2F011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护理部主任/主任护师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B0701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2F9A80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上海市公共卫生临床中心</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DCB17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5663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EA69D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杨红丽</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2B90C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护理部主任/主任护师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0723D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18941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云南省传染病医院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44CDA8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2ACF9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2DF2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吴荣珍</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268E8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护理部主任/主任护师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A2EB0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70BDC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苏州市第五人民医院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49B245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6AD5B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3824F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王秀军</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663FB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护理部主任/主任护师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7030C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A2482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首都医科大学附属北京胸科医院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C1D26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35864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84EE4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彭洪滨</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323DA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33FA0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F5FF4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E09F9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34F6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C06D6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蔡西西</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E38AF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8B716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8064F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广西医科大学第一附属医院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C7C1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7933A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24A18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覃凤飞</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25B83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D020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CCD85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右江民族医学院附属医院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5A652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2450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0E8A3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黄静铭</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06E2A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5B05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042C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广西中医药大学附属瑞康医院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B5ED8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6ACA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C58B9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陈颖</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9AE6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C4EE0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33CD9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苏州市第五人民医院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73A19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43BE7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98A56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黄颖慧</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64859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带教老师/主管护师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03D2B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2201E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苏州市第五人民医院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1D798E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3E1D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14D66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徐燕</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5604A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4BC1E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782D9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云南省传染病医院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4D92CA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0A47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A86D7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何芳艳</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52A55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686D1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2021AE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云南省传染病医院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E4BF3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0308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7C102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夏倩文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2F838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无/护师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B90A8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A9A2A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上海市公共卫生临床中心</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09A8FE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47AB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F4968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陆玲庆</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1D858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14703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928BE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上海市公共卫生临床中心</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12A6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0C95B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5B666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陶永红</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7DFFB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科护士长/主管护师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17451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1A41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上海市公共卫生临床中心</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0270F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0074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6DCB1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聂菲菲</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26037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科护士长/副主任护师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AECBF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1D623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首都医科大学附属北京胸科医院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2AAFF9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7D28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EEF8E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矫晓克</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FD43F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副护士长/主管护师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D3F62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F1BD3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首都医科大学附属北京胸科医院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8B075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3D02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F6238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赵越</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E86DB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1AFE6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B6F1C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首都医科大学附属北京胸科医院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1650C6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19D4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4B0DD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张杰文</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7E27A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副护士长/主管护师</w:t>
            </w:r>
          </w:p>
          <w:p w14:paraId="726B02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6A39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48BB5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首都医科大学附属北京胸科医院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025F9D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7015D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9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11CC4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班凤婷</w:t>
            </w:r>
          </w:p>
        </w:tc>
        <w:tc>
          <w:tcPr>
            <w:tcW w:w="12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D7934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w:t>
            </w:r>
          </w:p>
          <w:p w14:paraId="64BABF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副主任护师</w:t>
            </w:r>
          </w:p>
          <w:p w14:paraId="7995E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kern w:val="2"/>
                <w:sz w:val="20"/>
                <w:szCs w:val="20"/>
                <w:lang w:val="en-US" w:eastAsia="zh-CN" w:bidi="ar"/>
              </w:rPr>
            </w:pPr>
          </w:p>
        </w:tc>
        <w:tc>
          <w:tcPr>
            <w:tcW w:w="11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FB67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EFD9E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414A4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7EB7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B30CF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黄连飘</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D6DF4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w:t>
            </w:r>
          </w:p>
          <w:p w14:paraId="4E5D67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副主任护师</w:t>
            </w:r>
          </w:p>
          <w:p w14:paraId="3E7968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0BB42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2C1112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78D874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2D822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02D94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玉明柳</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048BA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w:t>
            </w:r>
          </w:p>
          <w:p w14:paraId="2B8EC7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副主任护师</w:t>
            </w:r>
          </w:p>
          <w:p w14:paraId="17319E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0DDDA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D8D4F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21D56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2ACB1DA6">
        <w:tblPrEx>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620C1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韦柳迎</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1F483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w:t>
            </w:r>
          </w:p>
          <w:p w14:paraId="35AD00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主任护师</w:t>
            </w:r>
          </w:p>
          <w:p w14:paraId="698F33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A7BE6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36EA9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3244EA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1A8A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3FF85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朱凤梅</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692B0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w:t>
            </w:r>
          </w:p>
          <w:p w14:paraId="7B0634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副主任护师</w:t>
            </w:r>
          </w:p>
          <w:p w14:paraId="5311B2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E19A3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1434A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03A6CC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6C16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4522D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曾春梅</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18E89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w:t>
            </w:r>
          </w:p>
          <w:p w14:paraId="16D501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副主任护师</w:t>
            </w:r>
          </w:p>
          <w:p w14:paraId="48A9A7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7C887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4E1E14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top"/>
          </w:tcPr>
          <w:p w14:paraId="58888A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24BA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926DF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蒙福清</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10391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护士长/</w:t>
            </w:r>
          </w:p>
          <w:p w14:paraId="35467D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副主任护师</w:t>
            </w:r>
          </w:p>
          <w:p w14:paraId="064662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DC9CC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CC593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00A200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3E65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4F080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韦小英</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419ED5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护理部副主任/副主任护师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8FB9E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49558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87A79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7388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63C35A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文乐敏</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71B77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科长/副主任医师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DEA8A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临床医疗</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AD3E4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B45E2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4FF10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FA6D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董文逸</w:t>
            </w:r>
          </w:p>
        </w:tc>
        <w:tc>
          <w:tcPr>
            <w:tcW w:w="128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1566A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科长/主任医师</w:t>
            </w:r>
          </w:p>
        </w:tc>
        <w:tc>
          <w:tcPr>
            <w:tcW w:w="112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9B55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临床医疗</w:t>
            </w:r>
          </w:p>
        </w:tc>
        <w:tc>
          <w:tcPr>
            <w:tcW w:w="194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87BA5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4D82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kern w:val="2"/>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7DEA5452">
        <w:tblPrEx>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2E72A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何华伟</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A50B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科主任/副主任医师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DA0EE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临床医疗</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B580C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1BBF1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7104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35AC0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蒙夏艳</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B4D24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科主任/副主任医师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FE338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临床医疗</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5BDD8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22838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586B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4A66A4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张凤颜</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1C616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D5997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3BACEB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1250D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4E69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07F0AC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黄雪梅</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6F4D8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7CB53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858F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69C97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6095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4EDB2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农秋棉</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596A0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29BDD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260598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041CE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38429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EF820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谢朝琼</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79F468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8C26E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45422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DBA7C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7C4E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530D3D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蓝慧珍</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AC63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F29FD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0690D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南宁市第四人民医院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5CC2E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2C3E2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08F02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赵芳怡</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E75ED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主管护师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742DD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9406D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广西医科大学第一附属医院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3DD57A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6A7D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85898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马筱岸</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6973DE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护士长/副主任护师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EB37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126B6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右江民族医学院附属医院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487DEF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1D837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111CC4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周凯</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0FE810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副主任护师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EF269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01A161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广西中医药大学附属瑞康医院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7D9A85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502D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9CF4E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刘娜</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23FF57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748AD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7B8152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中山大学附属第一医院广西医院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75CCB6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20EF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71FF87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代咏航</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3FB729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护师</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7501DB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53253F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default" w:ascii="仿宋_GB2312" w:hAnsi="仿宋_GB2312" w:eastAsia="仿宋_GB2312" w:cs="仿宋_GB2312"/>
                <w:color w:val="auto"/>
                <w:sz w:val="20"/>
                <w:szCs w:val="20"/>
                <w:lang w:val="en-US" w:eastAsia="zh-CN" w:bidi="ar"/>
              </w:rPr>
              <w:t>中山大学附属第一医院广西医院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6F6CC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43DA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3CDC9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黄燕燕</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05104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4828C6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1E13F0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广西医科大学护理学院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620324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r w14:paraId="0E00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948" w:type="dxa"/>
            <w:tcBorders>
              <w:top w:val="single" w:color="auto" w:sz="4" w:space="0"/>
              <w:left w:val="single" w:color="auto" w:sz="4" w:space="0"/>
              <w:bottom w:val="single" w:color="auto" w:sz="4" w:space="0"/>
              <w:right w:val="single" w:color="auto" w:sz="4" w:space="0"/>
            </w:tcBorders>
            <w:noWrap w:val="0"/>
            <w:vAlign w:val="center"/>
          </w:tcPr>
          <w:p w14:paraId="205316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李晓坤</w:t>
            </w:r>
          </w:p>
        </w:tc>
        <w:tc>
          <w:tcPr>
            <w:tcW w:w="1287" w:type="dxa"/>
            <w:tcBorders>
              <w:top w:val="single" w:color="auto" w:sz="4" w:space="0"/>
              <w:left w:val="single" w:color="auto" w:sz="4" w:space="0"/>
              <w:bottom w:val="single" w:color="auto" w:sz="4" w:space="0"/>
              <w:right w:val="single" w:color="auto" w:sz="4" w:space="0"/>
            </w:tcBorders>
            <w:noWrap w:val="0"/>
            <w:vAlign w:val="center"/>
          </w:tcPr>
          <w:p w14:paraId="1331EF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护士</w:t>
            </w: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1C4AC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临床护理</w:t>
            </w:r>
          </w:p>
        </w:tc>
        <w:tc>
          <w:tcPr>
            <w:tcW w:w="1948" w:type="dxa"/>
            <w:tcBorders>
              <w:top w:val="single" w:color="auto" w:sz="4" w:space="0"/>
              <w:left w:val="single" w:color="auto" w:sz="4" w:space="0"/>
              <w:bottom w:val="single" w:color="auto" w:sz="4" w:space="0"/>
              <w:right w:val="single" w:color="auto" w:sz="4" w:space="0"/>
            </w:tcBorders>
            <w:noWrap w:val="0"/>
            <w:vAlign w:val="center"/>
          </w:tcPr>
          <w:p w14:paraId="6A2EA2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default"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广西医科大学护理学院</w:t>
            </w:r>
          </w:p>
        </w:tc>
        <w:tc>
          <w:tcPr>
            <w:tcW w:w="3778" w:type="dxa"/>
            <w:tcBorders>
              <w:top w:val="single" w:color="auto" w:sz="4" w:space="0"/>
              <w:left w:val="single" w:color="auto" w:sz="4" w:space="0"/>
              <w:bottom w:val="single" w:color="auto" w:sz="4" w:space="0"/>
              <w:right w:val="single" w:color="auto" w:sz="4" w:space="0"/>
            </w:tcBorders>
            <w:noWrap w:val="0"/>
            <w:vAlign w:val="center"/>
          </w:tcPr>
          <w:p w14:paraId="53BD4B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leftChars="0" w:right="0" w:rightChars="0"/>
              <w:jc w:val="left"/>
              <w:textAlignment w:val="auto"/>
              <w:rPr>
                <w:rFonts w:hint="eastAsia" w:ascii="仿宋_GB2312" w:hAnsi="仿宋_GB2312" w:eastAsia="仿宋_GB2312" w:cs="仿宋_GB2312"/>
                <w:color w:val="auto"/>
                <w:sz w:val="20"/>
                <w:szCs w:val="20"/>
                <w:lang w:val="en-US" w:eastAsia="zh-CN" w:bidi="ar"/>
              </w:rPr>
            </w:pPr>
            <w:r>
              <w:rPr>
                <w:rFonts w:hint="eastAsia" w:ascii="仿宋_GB2312" w:hAnsi="仿宋_GB2312" w:eastAsia="仿宋_GB2312" w:cs="仿宋_GB2312"/>
                <w:color w:val="auto"/>
                <w:sz w:val="20"/>
                <w:szCs w:val="20"/>
                <w:lang w:val="en-US" w:eastAsia="zh-CN" w:bidi="ar"/>
              </w:rPr>
              <w:t>参与标准文本及编制说明的编写；组织开展标准征求意见会；对标准实施情况进行总结分析，不断对标准提出修正意见</w:t>
            </w:r>
          </w:p>
        </w:tc>
      </w:tr>
    </w:tbl>
    <w:p w14:paraId="597E4B48">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76AE49AF">
      <w:pPr>
        <w:spacing w:line="520" w:lineRule="exact"/>
        <w:ind w:firstLine="560" w:firstLineChars="200"/>
        <w:rPr>
          <w:rFonts w:hint="eastAsia"/>
          <w:color w:val="auto"/>
          <w:lang w:val="en-US" w:eastAsia="zh-CN"/>
        </w:rPr>
      </w:pPr>
      <w:r>
        <w:rPr>
          <w:rFonts w:hint="eastAsia" w:ascii="仿宋_GB2312" w:eastAsia="仿宋_GB2312"/>
          <w:color w:val="auto"/>
          <w:sz w:val="28"/>
          <w:szCs w:val="28"/>
          <w:lang w:val="en-US" w:eastAsia="zh-CN"/>
        </w:rPr>
        <w:t>我国政府高度重视结核病的防治工作，国务院发布《“十四五”国民健康规划》提出，要全面落实结核病防治策略，加强肺结核患者发现和规范化诊疗，强化基层医疗卫生机构结核病患者健康管理，加大肺结核患者保障力度。《“十三五”全国结核病防治规划》指出，要进一步健全结核病服务体系，不断提高结核病防治技术水平及服务能力，实现及早发现并全程规范治疗。</w:t>
      </w:r>
    </w:p>
    <w:p w14:paraId="0907A5C5">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广西是我国结核病疫情比较严重的地区，结核病年报告发病率和报告发病人数均高于全国平均水平，近几年每年的报告发病数约有3.5万例，报告发病率仍达70／10万左右，位于全国各省（市、自治区）排名的第7位，报告发病数长期占据我区甲乙类传染病报告发病数第二位病种的位置。结核病的广泛流行，已成为重大的公共卫生问题和社会问题，是我区农村因病致贫、因病返贫的主要疾病之一。</w:t>
      </w:r>
    </w:p>
    <w:p w14:paraId="282C6F3F">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lang w:val="en-US" w:eastAsia="zh-CN"/>
        </w:rPr>
        <w:t>肺结核作为一种慢性呼吸道传染病，其病理特征决定了排痰护理在治疗过程中的核心地位。由于肺结核病灶多发生于肺上叶尖后段和下叶背段，这种特殊的解剖位置使得痰液引流存在天然困难。相关研究显示，约72.5%的肺结核患者存在区域性支气管引流障碍，其中上叶病变患者的有效自主排痰率仅为38.2%，远低于其他肺部疾病患者。规范的排痰护理技术，有利于促进患者痰液的排出及肺结核患者早发现及准确诊断，对肺结核患者的治疗康复起到一定的促进作用。通过制定团体标准《成人肺结核排痰护理技术规范》，以标准为抓手、细化操作，对保障肺结核排痰护理技术服务质量，推动医疗行业规范化发展具有重要意义</w:t>
      </w:r>
      <w:r>
        <w:rPr>
          <w:rFonts w:hint="eastAsia" w:ascii="仿宋_GB2312" w:eastAsia="仿宋_GB2312"/>
          <w:color w:val="auto"/>
          <w:sz w:val="28"/>
          <w:szCs w:val="28"/>
        </w:rPr>
        <w:t>。</w:t>
      </w:r>
    </w:p>
    <w:p w14:paraId="028EE12C">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1E587631">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65FB42FD">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成人肺结核排痰护理技术规范</w:t>
      </w:r>
      <w:r>
        <w:rPr>
          <w:rFonts w:hint="eastAsia" w:ascii="仿宋_GB2312" w:eastAsia="仿宋_GB2312"/>
          <w:color w:val="auto"/>
          <w:sz w:val="28"/>
          <w:szCs w:val="28"/>
        </w:rPr>
        <w:t>》项目任务下达后，南宁市第四人民医院、广西医科大学第一附属医院、广西中医药大学附属瑞康医院、首都医科大学附属北京胸科医院、云南省传染病医院、上海市公共卫生临床中心、苏州市第五人民医院、右江民族医学院附属医院成立了标准编制工作组，制定了起草编写方案与进度安排，明确任务职责，确定工作技术路线，开展标准研制工作。具体标准编制工作由起草单位相关人员配合完成。</w:t>
      </w:r>
    </w:p>
    <w:p w14:paraId="0EA070A6">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方面的有关研究情况和目前科学界</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5539D456">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DD61159">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的相关文献资料。主要有：</w:t>
      </w:r>
    </w:p>
    <w:p w14:paraId="5F668B7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  WS 288</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肺结核诊断</w:t>
      </w:r>
    </w:p>
    <w:p w14:paraId="2737E0B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[2]  YY/T 1665  振动叩击排痰机</w:t>
      </w:r>
    </w:p>
    <w:p w14:paraId="38831B7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[3]  YY/T 1685  气动脉冲振荡排痰设备</w:t>
      </w:r>
    </w:p>
    <w:p w14:paraId="02218F2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[4]  DB22/T 3544  儿童排痰护理技术规范</w:t>
      </w:r>
    </w:p>
    <w:p w14:paraId="45CBB9C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[5]  中国康复医学会重症康复专业委员会呼吸重症康复学组,中国老年保健医学研究会老龄健康服务与标准化分会,中国老年保健医学》杂志编辑委员会,等.中国呼吸重症康复治疗技术专家共识[J].中国老年保健医学,2018,16(5):3-11.</w:t>
      </w:r>
    </w:p>
    <w:p w14:paraId="267BE1A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 xml:space="preserve">[6]  中国病理生理危重病学会呼吸治疗学组.重症患者气道廓清技术专家共识[J].中华重症医学电子杂志（网络版）,2020,6(3):272-282. </w:t>
      </w:r>
    </w:p>
    <w:p w14:paraId="725D65D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[7]  城市医联体家庭病床服务规范第2部分：慢性阻塞性肺疾病康复</w:t>
      </w:r>
    </w:p>
    <w:p w14:paraId="6B6B468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[8]  尤黎明，吴瑛.内科护理学（第七版）[M].北京: 人民卫生出版社, 2022.</w:t>
      </w:r>
    </w:p>
    <w:p w14:paraId="3D3150E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[9]  李庆印，陈永强.重症专科护理[M].北京:人民卫生出版社, 2018.</w:t>
      </w:r>
    </w:p>
    <w:p w14:paraId="1426D6F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[10] 中华医学会呼吸病学分会,中国老年保健医学研究会呼吸病学分会,中国呼吸医师分会呼吸职业发展委员会呼吸治疗师工作组,等. 机械气道廓清技术临床应用专家共识[J]. 中华结核和呼吸杂志,2023,46(09)：866-879.</w:t>
      </w:r>
    </w:p>
    <w:p w14:paraId="55F1382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[11] 《医疗卫生机构医疗废物管理办法》</w:t>
      </w:r>
    </w:p>
    <w:p w14:paraId="219890D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[12] 《医疗废物管理条例》</w:t>
      </w:r>
    </w:p>
    <w:p w14:paraId="70E76CDE">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（三）研讨确定标准特色、创新点和主体内容</w:t>
      </w:r>
    </w:p>
    <w:p w14:paraId="586DF1CA">
      <w:pPr>
        <w:pStyle w:val="29"/>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color w:val="auto"/>
          <w:sz w:val="28"/>
          <w:szCs w:val="28"/>
          <w:lang w:val="en" w:eastAsia="zh-CN"/>
        </w:rPr>
        <w:t>成人肺结核排痰护理技术的适应症及禁忌症、护理前准备、护理要点、护理后处理和注意事项的要求。</w:t>
      </w:r>
    </w:p>
    <w:p w14:paraId="33C42BEE">
      <w:pPr>
        <w:spacing w:line="520" w:lineRule="exact"/>
        <w:ind w:firstLine="562" w:firstLineChars="200"/>
        <w:rPr>
          <w:rFonts w:hint="eastAsia" w:ascii="仿宋_GB2312" w:eastAsia="仿宋_GB2312"/>
          <w:color w:val="auto"/>
          <w:sz w:val="28"/>
          <w:szCs w:val="28"/>
          <w:highlight w:val="none"/>
          <w:lang w:eastAsia="zh-CN"/>
        </w:rPr>
      </w:pPr>
      <w:r>
        <w:rPr>
          <w:rFonts w:hint="eastAsia" w:ascii="仿宋_GB2312" w:eastAsia="仿宋_GB2312"/>
          <w:b/>
          <w:bCs/>
          <w:color w:val="auto"/>
          <w:sz w:val="28"/>
          <w:szCs w:val="28"/>
          <w:highlight w:val="none"/>
          <w:lang w:eastAsia="zh-CN"/>
        </w:rPr>
        <w:t>（1）聚焦成人肺结核疾病特异性，细化 “疾病适配” 禁忌与感染控制要求。</w:t>
      </w:r>
      <w:r>
        <w:rPr>
          <w:rFonts w:hint="eastAsia" w:ascii="仿宋_GB2312" w:eastAsia="仿宋_GB2312"/>
          <w:color w:val="auto"/>
          <w:sz w:val="28"/>
          <w:szCs w:val="28"/>
          <w:highlight w:val="none"/>
          <w:lang w:eastAsia="zh-CN"/>
        </w:rPr>
        <w:t>这是国内首个专门针对“成人肺结核”这一特定传染病的排痰护理技术规范。现有标准（如DB22/T 3544）针对儿童，各类共识多为泛指的呼吸重症或气道廓清技术。相较于通用呼吸疾病康复共识（如《中国呼吸重症康复治疗技术专家共识》《重症患者气道廓清技术专家共识》）、普适性护理书籍（如《内科护理学》），本标准突破 “通用型气道廓清” 框架，针对肺结核的病理特征与传染性风险制定专属要求，全程融入结核病隔离与感染控制的思维和技术要求（如高级别防护、特殊通风消毒），填补了肺结核专科护理技术标准的空白。</w:t>
      </w:r>
    </w:p>
    <w:p w14:paraId="19315E98">
      <w:pPr>
        <w:spacing w:line="520" w:lineRule="exact"/>
        <w:ind w:firstLine="562" w:firstLineChars="200"/>
        <w:rPr>
          <w:rFonts w:hint="eastAsia" w:ascii="仿宋_GB2312" w:eastAsia="仿宋_GB2312"/>
          <w:color w:val="auto"/>
          <w:sz w:val="28"/>
          <w:szCs w:val="28"/>
          <w:highlight w:val="none"/>
          <w:lang w:eastAsia="zh-CN"/>
        </w:rPr>
      </w:pPr>
      <w:r>
        <w:rPr>
          <w:rFonts w:hint="eastAsia" w:ascii="仿宋_GB2312" w:eastAsia="仿宋_GB2312"/>
          <w:b/>
          <w:bCs/>
          <w:color w:val="auto"/>
          <w:sz w:val="28"/>
          <w:szCs w:val="28"/>
          <w:highlight w:val="none"/>
          <w:lang w:eastAsia="zh-CN"/>
        </w:rPr>
        <w:t>（2）量化操作参数与 “双评分” 分层适配，实现护理精准化。</w:t>
      </w:r>
      <w:r>
        <w:rPr>
          <w:rFonts w:hint="eastAsia" w:ascii="仿宋_GB2312" w:eastAsia="仿宋_GB2312"/>
          <w:color w:val="auto"/>
          <w:sz w:val="28"/>
          <w:szCs w:val="28"/>
          <w:highlight w:val="none"/>
          <w:lang w:eastAsia="zh-CN"/>
        </w:rPr>
        <w:t>对比护理书籍（如《重症专科护理》）中 “叩击力度适中、频率适宜” 等模糊表述，以及通用共识中 “按需调整参数” 的笼统建议，本标准通过量化指标 + 评分体系构建精准操作模型。操作参数全量化，解决书籍 / 共识中 “参数模糊” 导致的操作差异；“双评分” 分层适配：将 “咳嗽能力评分（0</w:t>
      </w:r>
      <w:r>
        <w:rPr>
          <w:rFonts w:hint="eastAsia" w:ascii="仿宋_GB2312" w:eastAsia="仿宋_GB2312"/>
          <w:color w:val="auto"/>
          <w:sz w:val="28"/>
          <w:szCs w:val="28"/>
          <w:lang w:val="en"/>
        </w:rPr>
        <w:t>～</w:t>
      </w:r>
      <w:r>
        <w:rPr>
          <w:rFonts w:hint="eastAsia" w:ascii="仿宋_GB2312" w:eastAsia="仿宋_GB2312"/>
          <w:color w:val="auto"/>
          <w:sz w:val="28"/>
          <w:szCs w:val="28"/>
          <w:highlight w:val="none"/>
          <w:lang w:eastAsia="zh-CN"/>
        </w:rPr>
        <w:t>5 分）” 与 “痰液黏稠度评分（I</w:t>
      </w:r>
      <w:r>
        <w:rPr>
          <w:rFonts w:hint="eastAsia" w:ascii="仿宋_GB2312" w:eastAsia="仿宋_GB2312"/>
          <w:color w:val="auto"/>
          <w:sz w:val="28"/>
          <w:szCs w:val="28"/>
          <w:lang w:val="en"/>
        </w:rPr>
        <w:t>～</w:t>
      </w:r>
      <w:r>
        <w:rPr>
          <w:rFonts w:hint="eastAsia" w:ascii="仿宋_GB2312" w:eastAsia="仿宋_GB2312"/>
          <w:color w:val="auto"/>
          <w:sz w:val="28"/>
          <w:szCs w:val="28"/>
          <w:highlight w:val="none"/>
          <w:lang w:eastAsia="zh-CN"/>
        </w:rPr>
        <w:t>IV 级）” 绑定，如 “咳嗽能力 1</w:t>
      </w:r>
      <w:r>
        <w:rPr>
          <w:rFonts w:hint="eastAsia" w:ascii="仿宋_GB2312" w:eastAsia="仿宋_GB2312"/>
          <w:color w:val="auto"/>
          <w:sz w:val="28"/>
          <w:szCs w:val="28"/>
          <w:lang w:val="en"/>
        </w:rPr>
        <w:t>～</w:t>
      </w:r>
      <w:r>
        <w:rPr>
          <w:rFonts w:hint="eastAsia" w:ascii="仿宋_GB2312" w:eastAsia="仿宋_GB2312"/>
          <w:color w:val="auto"/>
          <w:sz w:val="28"/>
          <w:szCs w:val="28"/>
          <w:highlight w:val="none"/>
          <w:lang w:eastAsia="zh-CN"/>
        </w:rPr>
        <w:t>3 分 + 黏稠度 I</w:t>
      </w:r>
      <w:r>
        <w:rPr>
          <w:rFonts w:hint="eastAsia" w:ascii="仿宋_GB2312" w:eastAsia="仿宋_GB2312"/>
          <w:color w:val="auto"/>
          <w:sz w:val="28"/>
          <w:szCs w:val="28"/>
          <w:lang w:val="en"/>
        </w:rPr>
        <w:t>～</w:t>
      </w:r>
      <w:r>
        <w:rPr>
          <w:rFonts w:hint="eastAsia" w:ascii="仿宋_GB2312" w:eastAsia="仿宋_GB2312"/>
          <w:color w:val="auto"/>
          <w:sz w:val="28"/>
          <w:szCs w:val="28"/>
          <w:highlight w:val="none"/>
          <w:lang w:eastAsia="zh-CN"/>
        </w:rPr>
        <w:t>II 级用咳嗽训练”“3</w:t>
      </w:r>
      <w:r>
        <w:rPr>
          <w:rFonts w:hint="eastAsia" w:ascii="仿宋_GB2312" w:eastAsia="仿宋_GB2312"/>
          <w:color w:val="auto"/>
          <w:sz w:val="28"/>
          <w:szCs w:val="28"/>
          <w:lang w:val="en"/>
        </w:rPr>
        <w:t>～</w:t>
      </w:r>
      <w:r>
        <w:rPr>
          <w:rFonts w:hint="eastAsia" w:ascii="仿宋_GB2312" w:eastAsia="仿宋_GB2312"/>
          <w:color w:val="auto"/>
          <w:sz w:val="28"/>
          <w:szCs w:val="28"/>
          <w:highlight w:val="none"/>
          <w:lang w:eastAsia="zh-CN"/>
        </w:rPr>
        <w:t>5 分 + III</w:t>
      </w:r>
      <w:r>
        <w:rPr>
          <w:rFonts w:hint="eastAsia" w:ascii="仿宋_GB2312" w:eastAsia="仿宋_GB2312"/>
          <w:color w:val="auto"/>
          <w:sz w:val="28"/>
          <w:szCs w:val="28"/>
          <w:lang w:val="en"/>
        </w:rPr>
        <w:t>～</w:t>
      </w:r>
      <w:r>
        <w:rPr>
          <w:rFonts w:hint="eastAsia" w:ascii="仿宋_GB2312" w:eastAsia="仿宋_GB2312"/>
          <w:color w:val="auto"/>
          <w:sz w:val="28"/>
          <w:szCs w:val="28"/>
          <w:highlight w:val="none"/>
          <w:lang w:eastAsia="zh-CN"/>
        </w:rPr>
        <w:t>IV 级用体位引流 / OPEP”，形成 “患者情况 - 排痰方式” 的精准匹配逻辑，而书籍 / 共识多仅按 “痰液量、咳嗽能力” 单一维度建议，适配性不足。</w:t>
      </w:r>
    </w:p>
    <w:p w14:paraId="5F0559B5">
      <w:pPr>
        <w:spacing w:line="520" w:lineRule="exact"/>
        <w:ind w:firstLine="562" w:firstLineChars="200"/>
        <w:rPr>
          <w:rFonts w:hint="eastAsia" w:ascii="仿宋_GB2312" w:eastAsia="仿宋_GB2312"/>
          <w:color w:val="auto"/>
          <w:sz w:val="28"/>
          <w:szCs w:val="28"/>
          <w:highlight w:val="none"/>
          <w:lang w:eastAsia="zh-CN"/>
        </w:rPr>
      </w:pPr>
      <w:r>
        <w:rPr>
          <w:rFonts w:hint="eastAsia" w:ascii="仿宋_GB2312" w:eastAsia="仿宋_GB2312"/>
          <w:b/>
          <w:bCs/>
          <w:color w:val="auto"/>
          <w:sz w:val="28"/>
          <w:szCs w:val="28"/>
          <w:highlight w:val="none"/>
          <w:lang w:eastAsia="zh-CN"/>
        </w:rPr>
        <w:t>（3）操作参数全量化。</w:t>
      </w:r>
      <w:r>
        <w:rPr>
          <w:rFonts w:hint="eastAsia" w:ascii="仿宋_GB2312" w:eastAsia="仿宋_GB2312"/>
          <w:color w:val="auto"/>
          <w:sz w:val="28"/>
          <w:szCs w:val="28"/>
          <w:highlight w:val="none"/>
          <w:lang w:eastAsia="zh-CN"/>
        </w:rPr>
        <w:t>对每种技术都提供了极其详尽的、参数化的操作指南（如叩击频率、振动幅度、治疗时间、阻力设置等），并明确了肺结核患者的特殊禁忌证（如空洞型肺结核禁用高频振动），提升了标准的实用性和安全性，解决书籍 / 共识中 “参数模糊” 导致的操作差异。</w:t>
      </w:r>
    </w:p>
    <w:p w14:paraId="313921C3">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（四）调研及形成草案、征求意见稿</w:t>
      </w:r>
    </w:p>
    <w:p w14:paraId="7500258F">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rPr>
        <w:t>5</w:t>
      </w:r>
      <w:r>
        <w:rPr>
          <w:rFonts w:hint="eastAsia" w:ascii="仿宋_GB2312" w:eastAsia="仿宋_GB2312"/>
          <w:color w:val="auto"/>
          <w:kern w:val="0"/>
          <w:sz w:val="28"/>
          <w:szCs w:val="28"/>
        </w:rPr>
        <w:t>月～202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4ED8481D">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kern w:val="0"/>
          <w:sz w:val="28"/>
          <w:szCs w:val="28"/>
        </w:rPr>
        <w:t>年</w:t>
      </w:r>
      <w:r>
        <w:rPr>
          <w:rFonts w:hint="default" w:ascii="仿宋_GB2312" w:eastAsia="仿宋_GB2312"/>
          <w:color w:val="auto"/>
          <w:kern w:val="0"/>
          <w:sz w:val="28"/>
          <w:szCs w:val="28"/>
          <w:lang w:val="en" w:eastAsia="zh-CN"/>
        </w:rPr>
        <w:t>6</w:t>
      </w:r>
      <w:r>
        <w:rPr>
          <w:rFonts w:hint="eastAsia" w:ascii="仿宋_GB2312" w:eastAsia="仿宋_GB2312"/>
          <w:color w:val="auto"/>
          <w:kern w:val="0"/>
          <w:sz w:val="28"/>
          <w:szCs w:val="28"/>
        </w:rPr>
        <w:t>月～</w:t>
      </w:r>
      <w:r>
        <w:rPr>
          <w:rFonts w:hint="default" w:ascii="仿宋_GB2312" w:eastAsia="仿宋_GB2312"/>
          <w:color w:val="auto"/>
          <w:kern w:val="0"/>
          <w:sz w:val="28"/>
          <w:szCs w:val="28"/>
          <w:lang w:val="en" w:eastAsia="zh-CN"/>
        </w:rPr>
        <w:t>7</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lang w:eastAsia="zh-CN"/>
        </w:rPr>
        <w:t>成人肺结核排痰护理技术规范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kern w:val="0"/>
          <w:sz w:val="28"/>
          <w:szCs w:val="28"/>
        </w:rPr>
        <w:t>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lang w:eastAsia="zh-CN"/>
        </w:rPr>
        <w:t>成人肺结核排痰护理技术规范</w:t>
      </w:r>
      <w:r>
        <w:rPr>
          <w:rFonts w:hint="eastAsia" w:ascii="仿宋_GB2312" w:eastAsia="仿宋_GB2312"/>
          <w:color w:val="auto"/>
          <w:kern w:val="0"/>
          <w:sz w:val="28"/>
          <w:szCs w:val="28"/>
        </w:rPr>
        <w:t>》（草案）。</w:t>
      </w:r>
    </w:p>
    <w:p w14:paraId="42E18377">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default" w:ascii="仿宋_GB2312" w:eastAsia="仿宋_GB2312"/>
          <w:color w:val="auto"/>
          <w:kern w:val="0"/>
          <w:sz w:val="28"/>
          <w:szCs w:val="28"/>
          <w:lang w:val="en" w:eastAsia="zh-CN"/>
        </w:rPr>
        <w:t>5</w:t>
      </w:r>
      <w:r>
        <w:rPr>
          <w:rFonts w:hint="eastAsia" w:ascii="仿宋_GB2312" w:eastAsia="仿宋_GB2312"/>
          <w:color w:val="auto"/>
          <w:sz w:val="28"/>
          <w:szCs w:val="28"/>
          <w:lang w:val="en"/>
        </w:rPr>
        <w:t>年</w:t>
      </w:r>
      <w:r>
        <w:rPr>
          <w:rFonts w:hint="default" w:ascii="仿宋_GB2312" w:eastAsia="仿宋_GB2312"/>
          <w:color w:val="auto"/>
          <w:sz w:val="28"/>
          <w:szCs w:val="28"/>
          <w:lang w:val="en" w:eastAsia="zh-CN"/>
        </w:rPr>
        <w:t>7</w:t>
      </w:r>
      <w:r>
        <w:rPr>
          <w:rFonts w:hint="eastAsia" w:ascii="仿宋_GB2312" w:eastAsia="仿宋_GB2312"/>
          <w:color w:val="auto"/>
          <w:sz w:val="28"/>
          <w:szCs w:val="28"/>
          <w:lang w:val="en"/>
        </w:rPr>
        <w:t>月～</w:t>
      </w:r>
      <w:r>
        <w:rPr>
          <w:rFonts w:hint="eastAsia" w:ascii="仿宋_GB2312" w:eastAsia="仿宋_GB2312"/>
          <w:color w:val="auto"/>
          <w:sz w:val="28"/>
          <w:szCs w:val="28"/>
          <w:lang w:val="en-US" w:eastAsia="zh-CN"/>
        </w:rPr>
        <w:t>202</w:t>
      </w:r>
      <w:r>
        <w:rPr>
          <w:rFonts w:hint="default" w:ascii="仿宋_GB2312" w:eastAsia="仿宋_GB2312"/>
          <w:color w:val="auto"/>
          <w:sz w:val="28"/>
          <w:szCs w:val="28"/>
          <w:lang w:val="en" w:eastAsia="zh-CN"/>
        </w:rPr>
        <w:t>5</w:t>
      </w:r>
      <w:r>
        <w:rPr>
          <w:rFonts w:hint="eastAsia" w:ascii="仿宋_GB2312" w:eastAsia="仿宋_GB2312"/>
          <w:color w:val="auto"/>
          <w:sz w:val="28"/>
          <w:szCs w:val="28"/>
          <w:lang w:val="en-US" w:eastAsia="zh-CN"/>
        </w:rPr>
        <w:t>年</w:t>
      </w:r>
      <w:r>
        <w:rPr>
          <w:rFonts w:hint="default" w:ascii="仿宋_GB2312" w:eastAsia="仿宋_GB2312"/>
          <w:color w:val="auto"/>
          <w:sz w:val="28"/>
          <w:szCs w:val="28"/>
          <w:lang w:val="en" w:eastAsia="zh-CN"/>
        </w:rPr>
        <w:t>8</w:t>
      </w:r>
      <w:r>
        <w:rPr>
          <w:rFonts w:hint="eastAsia" w:ascii="仿宋_GB2312" w:eastAsia="仿宋_GB2312"/>
          <w:color w:val="auto"/>
          <w:sz w:val="28"/>
          <w:szCs w:val="28"/>
          <w:lang w:val="en"/>
        </w:rPr>
        <w:t>月，标准编制工作组深入南广西医科大学第一附属医院、广西中医药大学附属瑞康医院、首都医科大学附属北京胸科医院、云南省传染病医院、上海市公共卫生临床中心、苏州市第五人民医院、右江民族医学院附属医院</w:t>
      </w:r>
      <w:r>
        <w:rPr>
          <w:rFonts w:hint="eastAsia" w:ascii="仿宋_GB2312" w:eastAsia="仿宋_GB2312"/>
          <w:color w:val="auto"/>
          <w:sz w:val="28"/>
          <w:szCs w:val="28"/>
          <w:lang w:val="en" w:eastAsia="zh-CN"/>
        </w:rPr>
        <w:t>实施成人肺结核排痰护理技术</w:t>
      </w:r>
      <w:r>
        <w:rPr>
          <w:rFonts w:hint="eastAsia" w:ascii="仿宋_GB2312" w:hAnsi="宋体" w:eastAsia="仿宋_GB2312"/>
          <w:color w:val="auto"/>
          <w:sz w:val="28"/>
          <w:szCs w:val="28"/>
        </w:rPr>
        <w:t>的有代表性的医院</w:t>
      </w:r>
      <w:r>
        <w:rPr>
          <w:rFonts w:hint="eastAsia" w:ascii="仿宋_GB2312" w:eastAsia="仿宋_GB2312"/>
          <w:color w:val="auto"/>
          <w:kern w:val="0"/>
          <w:sz w:val="28"/>
          <w:szCs w:val="28"/>
        </w:rPr>
        <w:t>进行实地调研，并组织相关主管单位、医疗机构等召开标准研讨会，收集反馈了大量意见，对标准草案进行了反复修改和研究讨论，掌握了</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0"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sz w:val="28"/>
          <w:szCs w:val="28"/>
          <w:lang w:eastAsia="zh-CN"/>
        </w:rPr>
        <w:t>成人肺结核排痰护理技术规范</w:t>
      </w:r>
      <w:r>
        <w:rPr>
          <w:rFonts w:hint="eastAsia" w:ascii="仿宋_GB2312" w:eastAsia="仿宋_GB2312"/>
          <w:color w:val="auto"/>
          <w:kern w:val="0"/>
          <w:sz w:val="28"/>
          <w:szCs w:val="28"/>
        </w:rPr>
        <w:t>》（征求意见稿）及其编制说明。</w:t>
      </w:r>
      <w:bookmarkEnd w:id="0"/>
    </w:p>
    <w:p w14:paraId="2620DBE0">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5C9E32C9">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08CF6DC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2B62A3D5">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sz w:val="28"/>
          <w:szCs w:val="28"/>
          <w:lang w:val="en" w:eastAsia="zh-CN"/>
        </w:rPr>
        <w:t>成人肺结核排痰护理技术</w:t>
      </w:r>
      <w:r>
        <w:rPr>
          <w:rFonts w:hint="eastAsia" w:ascii="仿宋_GB2312" w:eastAsia="仿宋_GB2312" w:cs="仿宋"/>
          <w:color w:val="auto"/>
          <w:sz w:val="28"/>
          <w:szCs w:val="28"/>
        </w:rPr>
        <w:t>现状，结合起草单位前期研究工作取得的研究成果及积累的实践经验，并借鉴国内</w:t>
      </w:r>
      <w:r>
        <w:rPr>
          <w:rFonts w:hint="eastAsia" w:ascii="仿宋_GB2312" w:eastAsia="仿宋_GB2312"/>
          <w:color w:val="auto"/>
          <w:sz w:val="28"/>
          <w:szCs w:val="28"/>
          <w:lang w:val="en" w:eastAsia="zh-CN"/>
        </w:rPr>
        <w:t>成人肺结核排痰护理技术</w:t>
      </w:r>
      <w:r>
        <w:rPr>
          <w:rFonts w:hint="eastAsia" w:ascii="仿宋_GB2312" w:eastAsia="仿宋_GB2312" w:cs="仿宋"/>
          <w:color w:val="auto"/>
          <w:sz w:val="28"/>
          <w:szCs w:val="28"/>
        </w:rPr>
        <w:t>进行总结起草的，符合工作实际，利于</w:t>
      </w:r>
      <w:r>
        <w:rPr>
          <w:rFonts w:hint="eastAsia" w:ascii="仿宋_GB2312" w:eastAsia="仿宋_GB2312"/>
          <w:color w:val="auto"/>
          <w:sz w:val="28"/>
          <w:szCs w:val="28"/>
          <w:lang w:val="en" w:eastAsia="zh-CN"/>
        </w:rPr>
        <w:t>成人肺结核排痰护理技术</w:t>
      </w:r>
      <w:r>
        <w:rPr>
          <w:rFonts w:hint="eastAsia" w:ascii="仿宋_GB2312" w:eastAsia="仿宋_GB2312" w:cs="仿宋"/>
          <w:color w:val="auto"/>
          <w:sz w:val="28"/>
          <w:szCs w:val="28"/>
        </w:rPr>
        <w:t>的实施与推广，具有可操作性和实用性。</w:t>
      </w:r>
    </w:p>
    <w:p w14:paraId="64060AE1">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3D5DBD2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相关法律法规的协调问题，在内容上与现行法律法规、标准协调一致。</w:t>
      </w:r>
    </w:p>
    <w:p w14:paraId="0B49E25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9AA914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53E13827">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1091A2DE">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现实情况的同时，还考虑到了</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发展的指导。</w:t>
      </w:r>
    </w:p>
    <w:p w14:paraId="19811A4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360E80A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sz w:val="28"/>
          <w:szCs w:val="28"/>
          <w:lang w:val="en" w:eastAsia="zh-CN"/>
        </w:rPr>
        <w:t>成人肺结核排痰护理技术</w:t>
      </w:r>
      <w:r>
        <w:rPr>
          <w:rFonts w:hint="eastAsia" w:ascii="仿宋_GB2312" w:eastAsia="仿宋_GB2312"/>
          <w:color w:val="auto"/>
          <w:sz w:val="28"/>
          <w:szCs w:val="28"/>
        </w:rPr>
        <w:t>研究应用过程中的实践经验确定。</w:t>
      </w:r>
    </w:p>
    <w:p w14:paraId="61DCFCBE">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529875E8">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54A8B4E4">
      <w:pPr>
        <w:adjustRightInd w:val="0"/>
        <w:snapToGrid w:val="0"/>
        <w:spacing w:line="520" w:lineRule="exact"/>
        <w:ind w:firstLine="560" w:firstLineChars="200"/>
        <w:rPr>
          <w:rFonts w:hint="eastAsia"/>
          <w:color w:val="auto"/>
          <w:lang w:eastAsia="zh-CN"/>
        </w:rPr>
      </w:pPr>
      <w:r>
        <w:rPr>
          <w:rFonts w:hint="eastAsia" w:ascii="仿宋_GB2312" w:eastAsia="仿宋_GB2312"/>
          <w:color w:val="auto"/>
          <w:sz w:val="28"/>
          <w:szCs w:val="28"/>
          <w:lang w:eastAsia="zh-CN"/>
        </w:rPr>
        <w:t>经查阅，截止目前，国内与“肺结核  排痰”“肺结核  护理”“排痰  护理”相关的标准有：DB22/T 3544-2023《儿童排痰护理技术规范》该标准规定了儿童排痰护理的适应证、禁忌证、患者评估、操作流程和注意事项。而本标准是针对成人肺结核患者的排痰护理，护理要求不同，标准对象不同。当前未制定有团体标准《成人肺结核排痰护理技术规范》</w:t>
      </w:r>
      <w:r>
        <w:rPr>
          <w:rFonts w:hint="eastAsia" w:ascii="仿宋_GB2312" w:eastAsia="仿宋_GB2312" w:cs="仿宋"/>
          <w:bCs/>
          <w:color w:val="auto"/>
          <w:sz w:val="28"/>
          <w:szCs w:val="28"/>
          <w:lang w:val="en-US" w:eastAsia="zh-CN"/>
        </w:rPr>
        <w:t>。</w:t>
      </w:r>
    </w:p>
    <w:p w14:paraId="3319965D">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05D822F4">
      <w:pPr>
        <w:pStyle w:val="29"/>
        <w:spacing w:line="520" w:lineRule="exact"/>
        <w:ind w:firstLine="562"/>
        <w:rPr>
          <w:rFonts w:hint="eastAsia" w:ascii="仿宋_GB2312" w:eastAsia="仿宋_GB2312" w:cs="仿宋"/>
          <w:bCs/>
          <w:color w:val="auto"/>
          <w:sz w:val="28"/>
          <w:szCs w:val="28"/>
        </w:rPr>
      </w:pPr>
      <w:r>
        <w:rPr>
          <w:rFonts w:hint="eastAsia" w:ascii="仿宋_GB2312" w:eastAsia="仿宋_GB2312" w:cs="仿宋"/>
          <w:b w:val="0"/>
          <w:bCs w:val="0"/>
          <w:color w:val="auto"/>
          <w:sz w:val="28"/>
          <w:szCs w:val="28"/>
        </w:rPr>
        <w:t>本文件界定了</w:t>
      </w:r>
      <w:r>
        <w:rPr>
          <w:rFonts w:hint="eastAsia" w:ascii="仿宋_GB2312" w:eastAsia="仿宋_GB2312" w:cs="仿宋"/>
          <w:b w:val="0"/>
          <w:bCs w:val="0"/>
          <w:color w:val="auto"/>
          <w:sz w:val="28"/>
          <w:szCs w:val="28"/>
          <w:lang w:val="en" w:eastAsia="zh-CN"/>
        </w:rPr>
        <w:t>成人肺结核排痰护理技术</w:t>
      </w:r>
      <w:r>
        <w:rPr>
          <w:rFonts w:hint="eastAsia" w:ascii="仿宋_GB2312" w:eastAsia="仿宋_GB2312" w:cs="仿宋"/>
          <w:b w:val="0"/>
          <w:bCs w:val="0"/>
          <w:color w:val="auto"/>
          <w:sz w:val="28"/>
          <w:szCs w:val="28"/>
        </w:rPr>
        <w:t>涉及的术语和定义，规定了适应症及禁忌症、护理前准备、护理要点、护理后处理和注意事项的要求。本文件适用于医疗机构</w:t>
      </w:r>
      <w:r>
        <w:rPr>
          <w:rFonts w:hint="eastAsia" w:ascii="仿宋_GB2312" w:eastAsia="仿宋_GB2312" w:cs="仿宋"/>
          <w:b w:val="0"/>
          <w:bCs w:val="0"/>
          <w:color w:val="auto"/>
          <w:sz w:val="28"/>
          <w:szCs w:val="28"/>
          <w:lang w:val="en" w:eastAsia="zh-CN"/>
        </w:rPr>
        <w:t>成人肺结核排痰护理技术</w:t>
      </w:r>
      <w:r>
        <w:rPr>
          <w:rFonts w:hint="eastAsia" w:ascii="仿宋_GB2312" w:eastAsia="仿宋_GB2312"/>
          <w:color w:val="auto"/>
          <w:sz w:val="28"/>
          <w:szCs w:val="28"/>
          <w:lang w:eastAsia="zh-CN"/>
        </w:rPr>
        <w:t>。</w:t>
      </w:r>
    </w:p>
    <w:p w14:paraId="3B7173D7">
      <w:pPr>
        <w:pStyle w:val="29"/>
        <w:numPr>
          <w:ilvl w:val="0"/>
          <w:numId w:val="8"/>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术语和定义</w:t>
      </w:r>
    </w:p>
    <w:p w14:paraId="03E3274E">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default" w:ascii="仿宋_GB2312" w:eastAsia="仿宋_GB2312" w:cs="仿宋"/>
          <w:b/>
          <w:bCs/>
          <w:color w:val="auto"/>
          <w:sz w:val="28"/>
          <w:szCs w:val="28"/>
          <w:lang w:val="en-US"/>
        </w:rPr>
      </w:pPr>
      <w:r>
        <w:rPr>
          <w:rFonts w:hint="eastAsia" w:ascii="仿宋_GB2312" w:eastAsia="仿宋_GB2312" w:cs="仿宋"/>
          <w:bCs/>
          <w:color w:val="auto"/>
          <w:sz w:val="28"/>
          <w:szCs w:val="28"/>
          <w:lang w:val="en-US" w:eastAsia="zh-CN"/>
        </w:rPr>
        <w:t>参考《肺康复成功指南》（第4版）、《慢性呼吸疾病康复临床操作路径》《Clinical application of intrapulmonary percussive ventilation: A scoping review》对主动循环呼吸技术、振荡呼气正压、肺内叩击通气等术语和定义进行界定。</w:t>
      </w:r>
    </w:p>
    <w:p w14:paraId="02F328DD">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主动循环呼吸技术   active cycle of breathing technique</w:t>
      </w:r>
    </w:p>
    <w:p w14:paraId="1327637F">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一种由患者主动参与的呼吸肌群训练方式，包括呼吸控制、胸廓扩张运动、用力呵（呼）气技术3个部分。</w:t>
      </w:r>
    </w:p>
    <w:p w14:paraId="16273E26">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振荡呼气正压   oscillation positive expiratory pressure</w:t>
      </w:r>
    </w:p>
    <w:p w14:paraId="4706DF63">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用一种机械的方式打断气流，通过呼气阻力器在呼气时产生振荡气流促进痰液排出的方法。</w:t>
      </w:r>
    </w:p>
    <w:p w14:paraId="755675E0">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肺内叩击通气  intrapulmonary percussive ventilation</w:t>
      </w:r>
    </w:p>
    <w:p w14:paraId="49E98683">
      <w:pPr>
        <w:pStyle w:val="2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通过控制气流使气道内产生脉冲气流，从而松动痰液，并推动痰液排出体外。</w:t>
      </w:r>
    </w:p>
    <w:p w14:paraId="0A77811A">
      <w:pPr>
        <w:pStyle w:val="29"/>
        <w:numPr>
          <w:ilvl w:val="0"/>
          <w:numId w:val="8"/>
        </w:numPr>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适应症及禁忌症</w:t>
      </w:r>
    </w:p>
    <w:p w14:paraId="2E95C5B5">
      <w:pPr>
        <w:pStyle w:val="29"/>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适应症</w:t>
      </w:r>
    </w:p>
    <w:p w14:paraId="2AB8A413">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分泌物量明显增多（＞30 mL/d）</w:t>
      </w:r>
      <w:r>
        <w:rPr>
          <w:rFonts w:hint="eastAsia" w:ascii="仿宋_GB2312" w:eastAsia="仿宋_GB2312" w:cs="仿宋"/>
          <w:bCs/>
          <w:color w:val="auto"/>
          <w:sz w:val="28"/>
          <w:szCs w:val="28"/>
          <w:lang w:val="en-US" w:eastAsia="zh-CN"/>
        </w:rPr>
        <w:t>作为量化阈值，为临床护理提供一个客观、可操作的判断依据，避免仅凭主观经验决策，确保干预的及时性。</w:t>
      </w:r>
    </w:p>
    <w:p w14:paraId="203C9928">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气道黏液高分泌状态</w:t>
      </w:r>
      <w:r>
        <w:rPr>
          <w:rFonts w:hint="eastAsia" w:ascii="仿宋_GB2312" w:eastAsia="仿宋_GB2312" w:cs="仿宋"/>
          <w:bCs/>
          <w:color w:val="auto"/>
          <w:sz w:val="28"/>
          <w:szCs w:val="28"/>
          <w:lang w:val="en-US" w:eastAsia="zh-CN"/>
        </w:rPr>
        <w:t>是针对如支气管扩张、慢性阻塞性肺疾病（COPD）等特定病理状态，此类患者虽分泌量未必即刻达到上述标准，但其黏液理化性质异常（如过于黏稠）已显著损害气道廓清能力，构成明确的干预指征。</w:t>
      </w:r>
    </w:p>
    <w:p w14:paraId="2FB2AED1">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呼吸肌无力和咳嗽受损</w:t>
      </w:r>
      <w:r>
        <w:rPr>
          <w:rFonts w:hint="eastAsia" w:ascii="仿宋_GB2312" w:eastAsia="仿宋_GB2312" w:cs="仿宋"/>
          <w:bCs/>
          <w:color w:val="auto"/>
          <w:sz w:val="28"/>
          <w:szCs w:val="28"/>
          <w:lang w:val="en-US" w:eastAsia="zh-CN"/>
        </w:rPr>
        <w:t>则是从力学机制角度出发，涵盖了因神经肌肉疾病、术后虚弱或意识障碍等原因导致咳嗽效率下降的患者群体，即使其分泌物量未显著增多，但自主排痰能力不足，同样存在肺部并发症的高风险。</w:t>
      </w:r>
    </w:p>
    <w:p w14:paraId="5F9B5603">
      <w:pPr>
        <w:pStyle w:val="29"/>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禁忌症</w:t>
      </w:r>
    </w:p>
    <w:p w14:paraId="4619321C">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有效咳嗽</w:t>
      </w:r>
      <w:r>
        <w:rPr>
          <w:rFonts w:hint="eastAsia" w:ascii="仿宋_GB2312" w:eastAsia="仿宋_GB2312" w:cs="仿宋"/>
          <w:bCs/>
          <w:color w:val="auto"/>
          <w:sz w:val="28"/>
          <w:szCs w:val="28"/>
          <w:lang w:val="en-US" w:eastAsia="zh-CN"/>
        </w:rPr>
        <w:t>作为一种主动的、需要患者配合的排痰技术，其核心机制是通过深吸气后紧闭声门，增加胸腹腔内压，随后突然开放声门，形成高速气流以咳出分泌物。此过程会显著升高胸内压和血压，并对气道产生强烈的物理冲击，所以禁忌于大咯血患者、肺大泡、气胸、心梗患者急性期。</w:t>
      </w:r>
    </w:p>
    <w:p w14:paraId="36F8130A">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主动循环呼吸排痰</w:t>
      </w:r>
      <w:r>
        <w:rPr>
          <w:rFonts w:hint="eastAsia" w:ascii="仿宋_GB2312" w:eastAsia="仿宋_GB2312" w:cs="仿宋"/>
          <w:bCs/>
          <w:color w:val="auto"/>
          <w:sz w:val="28"/>
          <w:szCs w:val="28"/>
          <w:lang w:val="en-US" w:eastAsia="zh-CN"/>
        </w:rPr>
        <w:t>是一个由患者主动主导的循环过程，其核心环节之一即为用力呼气技术。该技术要求患者在中低肺容积水平进行主动、用力的呼气，以产生足够的呼气流速，使气道壁上的分泌物松动并移动。强行让无法用力的患者尝试，可能导致患者因过度努力而疲劳，反而耗竭本已有限的呼吸功储备，甚至引发呼吸肌疲劳，加重呼吸困难。主动循环呼吸排痰虽较其他一些排痰技术温和，但仍需要患者进行多次深呼吸和用力呼气，这是一个消耗体力和增加氧耗的过程。对于处于病情加重期的患者，其机体处于高应激、高代谢状态，首要任务是休息、稳定生命体征和控制原发病。此时进行主动循环呼吸排痰可能增加其心肺负荷，不利于病情恢复，甚至可能诱发或加重缺氧。</w:t>
      </w:r>
    </w:p>
    <w:p w14:paraId="7F804A72">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叩击与振动排痰技术</w:t>
      </w:r>
      <w:r>
        <w:rPr>
          <w:rFonts w:hint="eastAsia" w:ascii="仿宋_GB2312" w:eastAsia="仿宋_GB2312" w:cs="仿宋"/>
          <w:bCs/>
          <w:color w:val="auto"/>
          <w:sz w:val="28"/>
          <w:szCs w:val="28"/>
          <w:lang w:val="en-US" w:eastAsia="zh-CN"/>
        </w:rPr>
        <w:t>禁忌证是基于该技术的物理作用机制（通过外部机械力作用于胸壁和深部组织）及患者潜在病理生理状态的综合风险评估，旨在最大限度地保障患者安全，避免医源性损伤。</w:t>
      </w:r>
    </w:p>
    <w:p w14:paraId="300C0563">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高频胸壁振荡排痰</w:t>
      </w:r>
      <w:r>
        <w:rPr>
          <w:rFonts w:hint="eastAsia" w:ascii="仿宋_GB2312" w:eastAsia="仿宋_GB2312" w:cs="仿宋"/>
          <w:bCs/>
          <w:color w:val="auto"/>
          <w:sz w:val="28"/>
          <w:szCs w:val="28"/>
          <w:lang w:val="en-US" w:eastAsia="zh-CN"/>
        </w:rPr>
        <w:t>是基于其独特的作用机制——通过充气背心向整个胸壁施加高频、小幅度的振荡气流，从而在气道内产生剪切力并促进分泌物松动——并结合患者具体的病理生理状态进行的全面安全性评估。</w:t>
      </w:r>
    </w:p>
    <w:p w14:paraId="7EA9793D">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振荡呼气正压装置排痰技术</w:t>
      </w:r>
      <w:r>
        <w:rPr>
          <w:rFonts w:hint="eastAsia" w:ascii="仿宋_GB2312" w:eastAsia="仿宋_GB2312" w:cs="仿宋"/>
          <w:bCs/>
          <w:color w:val="auto"/>
          <w:sz w:val="28"/>
          <w:szCs w:val="28"/>
          <w:lang w:val="en-US" w:eastAsia="zh-CN"/>
        </w:rPr>
        <w:t>禁忌证的设定，是基于其独特的作用机制——患者通过该装置进行主动呼气，对抗一个可调阻力，从而在气道内产生并维持正压，同时装置内部的钢球或瓣膜结构会产生振荡气流——并结合患者具体的病理生理状态进行的全面安全性评估。</w:t>
      </w:r>
    </w:p>
    <w:tbl>
      <w:tblPr>
        <w:tblStyle w:val="13"/>
        <w:tblW w:w="584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2697"/>
        <w:gridCol w:w="7793"/>
      </w:tblGrid>
      <w:tr w14:paraId="1ED07B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0" w:type="dxa"/>
            <w:bottom w:w="0" w:type="dxa"/>
            <w:right w:w="0" w:type="dxa"/>
          </w:tblCellMar>
        </w:tblPrEx>
        <w:trPr>
          <w:trHeight w:val="287" w:hRule="atLeast"/>
          <w:jc w:val="center"/>
        </w:trPr>
        <w:tc>
          <w:tcPr>
            <w:tcW w:w="2691" w:type="dxa"/>
            <w:tcBorders>
              <w:top w:val="single" w:color="auto" w:sz="8" w:space="0"/>
              <w:left w:val="single" w:color="auto" w:sz="8" w:space="0"/>
              <w:bottom w:val="single" w:color="auto" w:sz="8" w:space="0"/>
              <w:right w:val="single" w:color="auto" w:sz="4" w:space="0"/>
            </w:tcBorders>
            <w:shd w:val="clear" w:color="auto" w:fill="auto"/>
            <w:noWrap/>
            <w:vAlign w:val="center"/>
          </w:tcPr>
          <w:p w14:paraId="0AECA74E">
            <w:pPr>
              <w:keepNext w:val="0"/>
              <w:keepLines w:val="0"/>
              <w:widowControl/>
              <w:suppressLineNumbers w:val="0"/>
              <w:adjustRightInd/>
              <w:spacing w:before="0" w:beforeAutospacing="0" w:after="0" w:afterAutospacing="0" w:line="240" w:lineRule="auto"/>
              <w:ind w:left="0" w:right="0"/>
              <w:jc w:val="center"/>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排痰方式</w:t>
            </w:r>
          </w:p>
        </w:tc>
        <w:tc>
          <w:tcPr>
            <w:tcW w:w="7776" w:type="dxa"/>
            <w:tcBorders>
              <w:top w:val="single" w:color="auto" w:sz="8" w:space="0"/>
              <w:left w:val="single" w:color="auto" w:sz="4" w:space="0"/>
              <w:bottom w:val="single" w:color="auto" w:sz="8" w:space="0"/>
              <w:right w:val="single" w:color="auto" w:sz="8" w:space="0"/>
            </w:tcBorders>
            <w:shd w:val="clear" w:color="auto" w:fill="auto"/>
            <w:noWrap/>
            <w:vAlign w:val="center"/>
          </w:tcPr>
          <w:p w14:paraId="275BD12C">
            <w:pPr>
              <w:keepNext w:val="0"/>
              <w:keepLines w:val="0"/>
              <w:widowControl/>
              <w:suppressLineNumbers w:val="0"/>
              <w:adjustRightInd/>
              <w:spacing w:before="0" w:beforeAutospacing="0" w:after="0" w:afterAutospacing="0" w:line="240" w:lineRule="auto"/>
              <w:ind w:left="0" w:right="0"/>
              <w:jc w:val="center"/>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禁忌证</w:t>
            </w:r>
          </w:p>
        </w:tc>
      </w:tr>
      <w:tr w14:paraId="3DE67A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 w:hRule="atLeast"/>
          <w:jc w:val="center"/>
        </w:trPr>
        <w:tc>
          <w:tcPr>
            <w:tcW w:w="2691" w:type="dxa"/>
            <w:tcBorders>
              <w:top w:val="single" w:color="auto" w:sz="8" w:space="0"/>
              <w:left w:val="single" w:color="auto" w:sz="8" w:space="0"/>
              <w:bottom w:val="single" w:color="auto" w:sz="4" w:space="0"/>
              <w:right w:val="single" w:color="auto" w:sz="4" w:space="0"/>
            </w:tcBorders>
            <w:shd w:val="clear" w:color="auto" w:fill="auto"/>
            <w:noWrap/>
            <w:vAlign w:val="center"/>
          </w:tcPr>
          <w:p w14:paraId="3CD16FA3">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有效咳嗽</w:t>
            </w:r>
          </w:p>
        </w:tc>
        <w:tc>
          <w:tcPr>
            <w:tcW w:w="7776" w:type="dxa"/>
            <w:tcBorders>
              <w:top w:val="single" w:color="auto" w:sz="8" w:space="0"/>
              <w:left w:val="single" w:color="auto" w:sz="4" w:space="0"/>
              <w:bottom w:val="single" w:color="auto" w:sz="4" w:space="0"/>
              <w:right w:val="single" w:color="auto" w:sz="8" w:space="0"/>
            </w:tcBorders>
            <w:shd w:val="clear" w:color="auto" w:fill="auto"/>
            <w:noWrap/>
            <w:vAlign w:val="center"/>
          </w:tcPr>
          <w:p w14:paraId="3517F1C4">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大咯血患者、肺大泡、气胸、心梗患者急性期</w:t>
            </w:r>
          </w:p>
        </w:tc>
      </w:tr>
      <w:tr w14:paraId="7C55ED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 w:hRule="atLeast"/>
          <w:jc w:val="center"/>
        </w:trPr>
        <w:tc>
          <w:tcPr>
            <w:tcW w:w="2691" w:type="dxa"/>
            <w:tcBorders>
              <w:top w:val="single" w:color="auto" w:sz="4" w:space="0"/>
              <w:left w:val="single" w:color="auto" w:sz="8" w:space="0"/>
              <w:bottom w:val="single" w:color="auto" w:sz="4" w:space="0"/>
              <w:right w:val="single" w:color="auto" w:sz="4" w:space="0"/>
            </w:tcBorders>
            <w:shd w:val="clear" w:color="auto" w:fill="auto"/>
            <w:noWrap/>
            <w:vAlign w:val="center"/>
          </w:tcPr>
          <w:p w14:paraId="36A46780">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主动循环呼吸排痰</w:t>
            </w:r>
          </w:p>
        </w:tc>
        <w:tc>
          <w:tcPr>
            <w:tcW w:w="7776" w:type="dxa"/>
            <w:tcBorders>
              <w:top w:val="single" w:color="auto" w:sz="4" w:space="0"/>
              <w:left w:val="single" w:color="auto" w:sz="4" w:space="0"/>
              <w:bottom w:val="single" w:color="auto" w:sz="4" w:space="0"/>
              <w:right w:val="single" w:color="auto" w:sz="8" w:space="0"/>
            </w:tcBorders>
            <w:shd w:val="clear" w:color="auto" w:fill="auto"/>
            <w:noWrap/>
            <w:vAlign w:val="center"/>
          </w:tcPr>
          <w:p w14:paraId="66BD9100">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无法用力呼气、病情加重期</w:t>
            </w:r>
          </w:p>
        </w:tc>
      </w:tr>
      <w:tr w14:paraId="794C16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 w:hRule="atLeast"/>
          <w:jc w:val="center"/>
        </w:trPr>
        <w:tc>
          <w:tcPr>
            <w:tcW w:w="2691" w:type="dxa"/>
            <w:tcBorders>
              <w:top w:val="single" w:color="auto" w:sz="4" w:space="0"/>
              <w:left w:val="single" w:color="auto" w:sz="8" w:space="0"/>
              <w:bottom w:val="single" w:color="auto" w:sz="4" w:space="0"/>
              <w:right w:val="single" w:color="auto" w:sz="4" w:space="0"/>
            </w:tcBorders>
            <w:shd w:val="clear" w:color="auto" w:fill="auto"/>
            <w:noWrap/>
            <w:vAlign w:val="center"/>
          </w:tcPr>
          <w:p w14:paraId="1B46C206">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叩击/振动排痰</w:t>
            </w:r>
          </w:p>
        </w:tc>
        <w:tc>
          <w:tcPr>
            <w:tcW w:w="7776" w:type="dxa"/>
            <w:tcBorders>
              <w:top w:val="single" w:color="auto" w:sz="4" w:space="0"/>
              <w:left w:val="single" w:color="auto" w:sz="4" w:space="0"/>
              <w:bottom w:val="single" w:color="auto" w:sz="4" w:space="0"/>
              <w:right w:val="single" w:color="auto" w:sz="8" w:space="0"/>
            </w:tcBorders>
            <w:shd w:val="clear" w:color="auto" w:fill="auto"/>
            <w:noWrap/>
            <w:vAlign w:val="center"/>
          </w:tcPr>
          <w:p w14:paraId="6AC75206">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胸壁不稳定、无法改变体位、深静脉血栓、肺动脉栓塞、近期胸部外科手术或创伤、未经引流的气胸、可疑活动性咯血、血流动力学不稳定</w:t>
            </w:r>
          </w:p>
        </w:tc>
      </w:tr>
      <w:tr w14:paraId="730302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 w:hRule="atLeast"/>
          <w:jc w:val="center"/>
        </w:trPr>
        <w:tc>
          <w:tcPr>
            <w:tcW w:w="2691" w:type="dxa"/>
            <w:tcBorders>
              <w:top w:val="single" w:color="auto" w:sz="4" w:space="0"/>
              <w:left w:val="single" w:color="auto" w:sz="8" w:space="0"/>
              <w:bottom w:val="single" w:color="auto" w:sz="4" w:space="0"/>
              <w:right w:val="single" w:color="auto" w:sz="4" w:space="0"/>
            </w:tcBorders>
            <w:shd w:val="clear" w:color="auto" w:fill="auto"/>
            <w:noWrap/>
            <w:vAlign w:val="center"/>
          </w:tcPr>
          <w:p w14:paraId="0CE1AB71">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体位引流</w:t>
            </w:r>
          </w:p>
        </w:tc>
        <w:tc>
          <w:tcPr>
            <w:tcW w:w="7776" w:type="dxa"/>
            <w:tcBorders>
              <w:top w:val="single" w:color="auto" w:sz="4" w:space="0"/>
              <w:left w:val="single" w:color="auto" w:sz="4" w:space="0"/>
              <w:bottom w:val="single" w:color="auto" w:sz="4" w:space="0"/>
              <w:right w:val="single" w:color="auto" w:sz="8" w:space="0"/>
            </w:tcBorders>
            <w:shd w:val="clear" w:color="auto" w:fill="auto"/>
            <w:noWrap/>
            <w:vAlign w:val="center"/>
          </w:tcPr>
          <w:p w14:paraId="54958420">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无法耐受治疗体位、无法用力呼气、进行抗凝治疗、胸廓或脊柱骨折、严重骨质疏松、头颈部损伤、近期活动性出血、血流动力学不稳定、严重心脑血管疾病（颅内压＞20 mmHg）</w:t>
            </w:r>
          </w:p>
        </w:tc>
      </w:tr>
      <w:tr w14:paraId="78C156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 w:hRule="atLeast"/>
          <w:jc w:val="center"/>
        </w:trPr>
        <w:tc>
          <w:tcPr>
            <w:tcW w:w="2691" w:type="dxa"/>
            <w:tcBorders>
              <w:top w:val="single" w:color="auto" w:sz="4" w:space="0"/>
              <w:left w:val="single" w:color="auto" w:sz="8" w:space="0"/>
              <w:bottom w:val="single" w:color="auto" w:sz="4" w:space="0"/>
              <w:right w:val="single" w:color="auto" w:sz="4" w:space="0"/>
            </w:tcBorders>
            <w:shd w:val="clear" w:color="auto" w:fill="auto"/>
            <w:noWrap/>
            <w:vAlign w:val="center"/>
          </w:tcPr>
          <w:p w14:paraId="2B48C7A8">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高频胸壁振荡排痰</w:t>
            </w:r>
          </w:p>
        </w:tc>
        <w:tc>
          <w:tcPr>
            <w:tcW w:w="7776" w:type="dxa"/>
            <w:tcBorders>
              <w:top w:val="single" w:color="auto" w:sz="4" w:space="0"/>
              <w:left w:val="single" w:color="auto" w:sz="4" w:space="0"/>
              <w:bottom w:val="single" w:color="auto" w:sz="4" w:space="0"/>
              <w:right w:val="single" w:color="auto" w:sz="8" w:space="0"/>
            </w:tcBorders>
            <w:shd w:val="clear" w:color="auto" w:fill="auto"/>
            <w:noWrap/>
            <w:vAlign w:val="center"/>
          </w:tcPr>
          <w:p w14:paraId="1DDD27B5">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胸壁不稳定、无法改变体位、不稳定深静脉血栓或肺动脉栓塞、未经引流的气胸、血流动力学不稳定、近期胸部外科手术或创伤、可疑或存在活动性咯血</w:t>
            </w:r>
          </w:p>
        </w:tc>
      </w:tr>
      <w:tr w14:paraId="7AC1C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 w:hRule="atLeast"/>
          <w:jc w:val="center"/>
        </w:trPr>
        <w:tc>
          <w:tcPr>
            <w:tcW w:w="2691" w:type="dxa"/>
            <w:tcBorders>
              <w:top w:val="single" w:color="auto" w:sz="4" w:space="0"/>
              <w:left w:val="single" w:color="auto" w:sz="8" w:space="0"/>
              <w:bottom w:val="single" w:color="auto" w:sz="8" w:space="0"/>
              <w:right w:val="single" w:color="auto" w:sz="4" w:space="0"/>
            </w:tcBorders>
            <w:shd w:val="clear" w:color="auto" w:fill="auto"/>
            <w:noWrap/>
            <w:vAlign w:val="center"/>
          </w:tcPr>
          <w:p w14:paraId="0863685F">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振荡呼气正压排痰</w:t>
            </w:r>
          </w:p>
        </w:tc>
        <w:tc>
          <w:tcPr>
            <w:tcW w:w="7776" w:type="dxa"/>
            <w:tcBorders>
              <w:top w:val="single" w:color="auto" w:sz="4" w:space="0"/>
              <w:left w:val="single" w:color="auto" w:sz="4" w:space="0"/>
              <w:bottom w:val="single" w:color="auto" w:sz="8" w:space="0"/>
              <w:right w:val="single" w:color="auto" w:sz="8" w:space="0"/>
            </w:tcBorders>
            <w:shd w:val="clear" w:color="auto" w:fill="auto"/>
            <w:noWrap/>
            <w:vAlign w:val="center"/>
          </w:tcPr>
          <w:p w14:paraId="7CCAE1E4">
            <w:pPr>
              <w:keepNext w:val="0"/>
              <w:keepLines w:val="0"/>
              <w:widowControl/>
              <w:suppressLineNumbers w:val="0"/>
              <w:adjustRightInd/>
              <w:spacing w:before="0" w:beforeAutospacing="0" w:after="0" w:afterAutospacing="0" w:line="240" w:lineRule="auto"/>
              <w:ind w:left="0" w:right="0" w:firstLine="280" w:firstLineChars="100"/>
              <w:jc w:val="left"/>
              <w:textAlignment w:val="bottom"/>
              <w:rPr>
                <w:rFonts w:hint="eastAsia" w:ascii="仿宋_GB2312" w:hAnsi="Calibri" w:eastAsia="仿宋_GB2312" w:cs="仿宋"/>
                <w:bCs/>
                <w:color w:val="auto"/>
                <w:kern w:val="0"/>
                <w:sz w:val="28"/>
                <w:szCs w:val="28"/>
                <w:lang w:val="en-US" w:eastAsia="zh-CN" w:bidi="ar-SA"/>
              </w:rPr>
            </w:pPr>
            <w:r>
              <w:rPr>
                <w:rFonts w:hint="eastAsia" w:ascii="仿宋_GB2312" w:hAnsi="Calibri" w:eastAsia="仿宋_GB2312" w:cs="仿宋"/>
                <w:bCs/>
                <w:color w:val="auto"/>
                <w:kern w:val="0"/>
                <w:sz w:val="28"/>
                <w:szCs w:val="28"/>
                <w:lang w:val="en-US" w:eastAsia="zh-CN" w:bidi="ar-SA"/>
              </w:rPr>
              <w:t>未经引流的气胸、严重肺大泡、血流动力学不稳定、颅内压增高、近期面部外科手术或创伤、可疑活动性咯血、鼓膜破裂</w:t>
            </w:r>
          </w:p>
        </w:tc>
      </w:tr>
    </w:tbl>
    <w:p w14:paraId="341A428F">
      <w:pPr>
        <w:pStyle w:val="29"/>
        <w:numPr>
          <w:ilvl w:val="0"/>
          <w:numId w:val="9"/>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护理前准备</w:t>
      </w:r>
    </w:p>
    <w:p w14:paraId="306BD168">
      <w:pPr>
        <w:pStyle w:val="29"/>
        <w:spacing w:line="520" w:lineRule="exact"/>
        <w:ind w:left="0" w:leftChars="0" w:firstLine="562" w:firstLineChars="200"/>
        <w:rPr>
          <w:rFonts w:hint="eastAsia" w:ascii="仿宋_GB2312" w:eastAsia="仿宋_GB2312"/>
          <w:b/>
          <w:bCs/>
          <w:color w:val="auto"/>
          <w:sz w:val="28"/>
          <w:szCs w:val="28"/>
          <w:lang w:val="en-US" w:eastAsia="zh-CN"/>
        </w:rPr>
      </w:pPr>
      <w:r>
        <w:rPr>
          <w:rFonts w:hint="eastAsia" w:ascii="仿宋_GB2312" w:eastAsia="仿宋_GB2312"/>
          <w:b/>
          <w:bCs/>
          <w:color w:val="auto"/>
          <w:sz w:val="28"/>
          <w:szCs w:val="28"/>
          <w:lang w:val="en-US" w:eastAsia="zh-CN"/>
        </w:rPr>
        <w:t>（1）评估</w:t>
      </w:r>
    </w:p>
    <w:p w14:paraId="2C5CA436">
      <w:pPr>
        <w:pStyle w:val="29"/>
        <w:spacing w:line="520" w:lineRule="exact"/>
        <w:ind w:left="0" w:leftChars="0" w:firstLine="560" w:firstLineChars="200"/>
        <w:rPr>
          <w:rFonts w:hint="eastAsia" w:ascii="仿宋_GB2312" w:eastAsia="仿宋_GB2312" w:cs="仿宋"/>
          <w:bCs/>
          <w:color w:val="auto"/>
          <w:sz w:val="28"/>
          <w:szCs w:val="28"/>
          <w:lang w:val="en-US" w:eastAsia="zh-CN"/>
        </w:rPr>
      </w:pPr>
      <w:r>
        <w:rPr>
          <w:rFonts w:hint="eastAsia" w:ascii="仿宋_GB2312" w:eastAsia="仿宋_GB2312" w:cs="仿宋"/>
          <w:bCs/>
          <w:color w:val="auto"/>
          <w:sz w:val="28"/>
          <w:szCs w:val="28"/>
          <w:lang w:val="en-US" w:eastAsia="zh-CN"/>
        </w:rPr>
        <w:t>明确了以患者为中心、系统化和层级化的全面评估，涵盖一般情况、功能状态、痰液性质、病变部位和呼吸音等五个核心维度。</w:t>
      </w:r>
    </w:p>
    <w:p w14:paraId="0389A0A7">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一般情况评估</w:t>
      </w:r>
      <w:r>
        <w:rPr>
          <w:rFonts w:hint="eastAsia" w:ascii="仿宋_GB2312" w:eastAsia="仿宋_GB2312" w:cs="仿宋"/>
          <w:bCs/>
          <w:color w:val="auto"/>
          <w:sz w:val="28"/>
          <w:szCs w:val="28"/>
          <w:lang w:val="en-US" w:eastAsia="zh-CN"/>
        </w:rPr>
        <w:t>旨在了解患者耐受排痰护理的整体生理基础与风险。评估年龄、生命体征、意识、禁忌症是为了确保操作安全，防止意外；评估活动能力、配合程度、疼痛、坐位平衡是为了判断患者能否参与及适应何种体位；了解进食时间是为规避呕吐误吸风险；评估咳嗽咳痰能力与障碍原因则是选择主动或被动排痰技术的核心依据。</w:t>
      </w:r>
    </w:p>
    <w:p w14:paraId="5E01A0B3">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功能评估</w:t>
      </w:r>
      <w:r>
        <w:rPr>
          <w:rFonts w:hint="eastAsia" w:ascii="仿宋_GB2312" w:eastAsia="仿宋_GB2312" w:cs="仿宋"/>
          <w:bCs/>
          <w:color w:val="auto"/>
          <w:sz w:val="28"/>
          <w:szCs w:val="28"/>
          <w:lang w:val="en-US" w:eastAsia="zh-CN"/>
        </w:rPr>
        <w:t>旨在精确判断患者排痰障碍的根本原因。评估吞咽反射是为了解有无误吸风险；评估肺通气功能是为判断气道通畅性和呼吸效率；评估呼吸肌功能是为直接揭示咳嗽动力的来源是否充足。</w:t>
      </w:r>
    </w:p>
    <w:p w14:paraId="5B6E4AA5">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痰液情况评估</w:t>
      </w:r>
      <w:r>
        <w:rPr>
          <w:rFonts w:hint="eastAsia" w:ascii="仿宋_GB2312" w:eastAsia="仿宋_GB2312" w:cs="仿宋"/>
          <w:bCs/>
          <w:color w:val="auto"/>
          <w:sz w:val="28"/>
          <w:szCs w:val="28"/>
          <w:lang w:val="en-US" w:eastAsia="zh-CN"/>
        </w:rPr>
        <w:t>旨在为选择最合适的湿化或雾化方案及判断病情提供客观证据。评估颜色、性状、痰量可辅助判断感染状态；评估黏稠度则直接决定需采用何种物理或化学方法（如支气管舒张剂、黏液溶解剂）来降低排出阻力。</w:t>
      </w:r>
    </w:p>
    <w:p w14:paraId="1751A81F">
      <w:pPr>
        <w:pStyle w:val="29"/>
        <w:spacing w:line="520" w:lineRule="exact"/>
        <w:ind w:left="0" w:leftChars="0" w:firstLine="562" w:firstLineChars="200"/>
        <w:rPr>
          <w:rFonts w:hint="eastAsia" w:ascii="仿宋_GB2312" w:eastAsia="仿宋_GB2312" w:cs="仿宋"/>
          <w:bCs/>
          <w:color w:val="auto"/>
          <w:sz w:val="28"/>
          <w:szCs w:val="28"/>
          <w:lang w:val="en-US" w:eastAsia="zh-CN"/>
        </w:rPr>
      </w:pPr>
      <w:r>
        <w:rPr>
          <w:rFonts w:hint="eastAsia" w:ascii="仿宋_GB2312" w:eastAsia="仿宋_GB2312" w:cs="仿宋"/>
          <w:b/>
          <w:bCs w:val="0"/>
          <w:color w:val="auto"/>
          <w:sz w:val="28"/>
          <w:szCs w:val="28"/>
          <w:lang w:val="en-US" w:eastAsia="zh-CN"/>
        </w:rPr>
        <w:t>病变部位评估</w:t>
      </w:r>
      <w:r>
        <w:rPr>
          <w:rFonts w:hint="eastAsia" w:ascii="仿宋_GB2312" w:eastAsia="仿宋_GB2312" w:cs="仿宋"/>
          <w:bCs/>
          <w:color w:val="auto"/>
          <w:sz w:val="28"/>
          <w:szCs w:val="28"/>
          <w:lang w:val="en-US" w:eastAsia="zh-CN"/>
        </w:rPr>
        <w:t>旨在明确排痰护理的靶向目标。通过结合听诊与影像学资料，精确判定痰液蓄积的肺叶或肺段，从而指导治疗时体位的摆放（体位引流），确保操作有的放矢。</w:t>
      </w:r>
    </w:p>
    <w:p w14:paraId="30AAC0FE">
      <w:pPr>
        <w:pStyle w:val="29"/>
        <w:spacing w:line="520" w:lineRule="exact"/>
        <w:ind w:left="0" w:leftChars="0" w:firstLine="560" w:firstLineChars="200"/>
        <w:rPr>
          <w:rFonts w:hint="eastAsia" w:ascii="仿宋_GB2312" w:eastAsia="仿宋_GB2312" w:cs="仿宋"/>
          <w:bCs/>
          <w:color w:val="auto"/>
          <w:sz w:val="28"/>
          <w:szCs w:val="28"/>
          <w:lang w:val="en-US" w:eastAsia="zh-CN"/>
        </w:rPr>
      </w:pPr>
      <w:r>
        <w:rPr>
          <w:rFonts w:hint="eastAsia" w:ascii="仿宋_GB2312" w:eastAsia="仿宋_GB2312" w:cs="仿宋"/>
          <w:b w:val="0"/>
          <w:bCs/>
          <w:color w:val="auto"/>
          <w:sz w:val="28"/>
          <w:szCs w:val="28"/>
          <w:lang w:val="en-US" w:eastAsia="zh-CN"/>
        </w:rPr>
        <w:t>参考《AARC Clinical Practice Guidelines: Artificial Airway Suctioning》，</w:t>
      </w:r>
      <w:r>
        <w:rPr>
          <w:rFonts w:hint="eastAsia" w:ascii="仿宋_GB2312" w:eastAsia="仿宋_GB2312" w:cs="仿宋"/>
          <w:b/>
          <w:bCs w:val="0"/>
          <w:color w:val="auto"/>
          <w:sz w:val="28"/>
          <w:szCs w:val="28"/>
          <w:lang w:val="en-US" w:eastAsia="zh-CN"/>
        </w:rPr>
        <w:t>呼吸音听诊评估</w:t>
      </w:r>
      <w:r>
        <w:rPr>
          <w:rFonts w:hint="eastAsia" w:ascii="仿宋_GB2312" w:eastAsia="仿宋_GB2312" w:cs="仿宋"/>
          <w:bCs/>
          <w:color w:val="auto"/>
          <w:sz w:val="28"/>
          <w:szCs w:val="28"/>
          <w:lang w:val="en-US" w:eastAsia="zh-CN"/>
        </w:rPr>
        <w:t>旨在获取气道通畅性的动态声学指标并为疗效评价提供基线。通过听诊呼吸音强弱、对称性可判断肺通气和痰栓阻塞情况；监听湿啰音或痰鸣音的位置与范围，既能确认问题所在，也为操作后效果对比提供了关键依据。</w:t>
      </w:r>
    </w:p>
    <w:p w14:paraId="6A3D6BED">
      <w:pPr>
        <w:pStyle w:val="29"/>
        <w:numPr>
          <w:ilvl w:val="0"/>
          <w:numId w:val="10"/>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健康教育</w:t>
      </w:r>
    </w:p>
    <w:p w14:paraId="6B39DF4E">
      <w:pPr>
        <w:pStyle w:val="29"/>
        <w:spacing w:line="520" w:lineRule="exact"/>
        <w:ind w:left="0" w:leftChars="0" w:firstLine="560"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val="0"/>
          <w:bCs/>
          <w:color w:val="auto"/>
          <w:sz w:val="28"/>
          <w:szCs w:val="28"/>
          <w:lang w:val="en-US" w:eastAsia="zh-CN"/>
        </w:rPr>
        <w:t>在通过主动透明的沟通，使患者及家属充分理解操作的必要性与安全性，减轻其焦虑与恐惧，从而建立信任，提升治疗依从性，为排痰护理的有效执行奠定共同参与的心理与合作基础。</w:t>
      </w:r>
    </w:p>
    <w:p w14:paraId="666C0E9F">
      <w:pPr>
        <w:pStyle w:val="29"/>
        <w:numPr>
          <w:ilvl w:val="0"/>
          <w:numId w:val="10"/>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环境准备</w:t>
      </w:r>
    </w:p>
    <w:p w14:paraId="541C4820">
      <w:pPr>
        <w:pStyle w:val="29"/>
        <w:spacing w:line="520" w:lineRule="exact"/>
        <w:ind w:left="0" w:leftChars="0" w:firstLine="560" w:firstLineChars="200"/>
        <w:rPr>
          <w:rFonts w:hint="eastAsia" w:ascii="仿宋_GB2312" w:hAnsi="Calibri" w:eastAsia="仿宋_GB2312" w:cs="仿宋"/>
          <w:b w:val="0"/>
          <w:bCs/>
          <w:color w:val="auto"/>
          <w:sz w:val="28"/>
          <w:szCs w:val="28"/>
          <w:lang w:val="en-US" w:eastAsia="zh-CN" w:bidi="ar-SA"/>
        </w:rPr>
      </w:pPr>
      <w:r>
        <w:rPr>
          <w:rFonts w:hint="eastAsia" w:ascii="仿宋_GB2312" w:hAnsi="Calibri" w:eastAsia="仿宋_GB2312" w:cs="仿宋"/>
          <w:b w:val="0"/>
          <w:bCs/>
          <w:color w:val="auto"/>
          <w:sz w:val="28"/>
          <w:szCs w:val="28"/>
          <w:lang w:val="en-US" w:eastAsia="zh-CN" w:bidi="ar-SA"/>
        </w:rPr>
        <w:t>在通过规范环境设置与消毒流程，在保障患者舒适与隐私的同时，最大限度地降低呼吸道病原体通过气溶胶或飞沫在医疗环境中传播的风险，从而保护操作者、其他患者及家属的安全，其核心是平衡治疗需求与感染控制要求。</w:t>
      </w:r>
    </w:p>
    <w:p w14:paraId="56EE8FEF">
      <w:pPr>
        <w:pStyle w:val="29"/>
        <w:spacing w:line="520" w:lineRule="exact"/>
        <w:ind w:left="0" w:leftChars="0" w:firstLine="560" w:firstLineChars="200"/>
        <w:rPr>
          <w:rFonts w:hint="eastAsia" w:ascii="仿宋_GB2312" w:eastAsia="仿宋_GB2312" w:cs="仿宋"/>
          <w:b w:val="0"/>
          <w:bCs/>
          <w:color w:val="auto"/>
          <w:sz w:val="28"/>
          <w:szCs w:val="28"/>
          <w:highlight w:val="yellow"/>
          <w:lang w:val="en-US" w:eastAsia="zh-CN" w:bidi="ar-SA"/>
        </w:rPr>
      </w:pPr>
      <w:r>
        <w:rPr>
          <w:rFonts w:hint="eastAsia" w:ascii="仿宋_GB2312" w:hAnsi="Calibri" w:eastAsia="仿宋_GB2312" w:cs="仿宋"/>
          <w:b w:val="0"/>
          <w:bCs/>
          <w:color w:val="auto"/>
          <w:sz w:val="28"/>
          <w:szCs w:val="28"/>
          <w:lang w:val="en-US" w:eastAsia="zh-CN" w:bidi="ar-SA"/>
        </w:rPr>
        <w:t>采用自然通风或机械通风的方式对空气进行净化。自然通风每次通风时间30 min是一个经过验证的、能够确保室内空气与室外新鲜空气进行充分交换的最低时间限度。短于这个时间，可能无法有效降低空气中飞沫核（可能携带病原体）的浓度，达不到预期的净化效果。机械通风时通风量应至少达到每小时换气次数12次是因为高频次的换气可以极快地稀释空气中的污染物，确保空气品质。</w:t>
      </w:r>
    </w:p>
    <w:p w14:paraId="37F8C91E">
      <w:pPr>
        <w:pStyle w:val="29"/>
        <w:spacing w:line="520" w:lineRule="exact"/>
        <w:ind w:left="0" w:leftChars="0" w:firstLine="560" w:firstLineChars="200"/>
        <w:rPr>
          <w:rFonts w:hint="eastAsia" w:ascii="仿宋_GB2312" w:eastAsia="仿宋_GB2312" w:cs="仿宋"/>
          <w:b w:val="0"/>
          <w:bCs/>
          <w:color w:val="auto"/>
          <w:sz w:val="28"/>
          <w:szCs w:val="28"/>
          <w:highlight w:val="none"/>
          <w:lang w:val="en-US" w:eastAsia="zh-CN" w:bidi="ar-SA"/>
        </w:rPr>
      </w:pPr>
      <w:r>
        <w:rPr>
          <w:rFonts w:hint="eastAsia" w:ascii="仿宋_GB2312" w:eastAsia="仿宋_GB2312" w:cs="仿宋"/>
          <w:b w:val="0"/>
          <w:bCs/>
          <w:color w:val="auto"/>
          <w:sz w:val="28"/>
          <w:szCs w:val="28"/>
          <w:highlight w:val="none"/>
          <w:lang w:val="en-US" w:eastAsia="zh-CN" w:bidi="ar-SA"/>
        </w:rPr>
        <w:t>病室无人的情况：宜采用悬吊式或移动式紫外线灯直接照射进行空气消毒，紫外线灯(30 w紫外线灯，在1.0 m处的强度＞70 μW/c㎡)应≥1.5 W/m³，照射时间≥30 min，</w:t>
      </w:r>
      <w:r>
        <w:rPr>
          <w:rFonts w:hint="eastAsia" w:asciiTheme="minorEastAsia" w:hAnsiTheme="minorEastAsia" w:eastAsiaTheme="minorEastAsia" w:cstheme="minorEastAsia"/>
          <w:color w:val="auto"/>
          <w:kern w:val="2"/>
          <w:sz w:val="28"/>
          <w:szCs w:val="36"/>
          <w:lang w:val="en-US" w:eastAsia="zh-CN" w:bidi="ar-SA"/>
        </w:rPr>
        <w:t>排痰操作（尤其是肺结核患者）的环境消毒要求高于普通院内环境消毒标准，属于特殊要求。原因如下：肺结核属于呼吸道传染病，可通过飞沫和气溶胶传播</w:t>
      </w:r>
      <w:r>
        <w:rPr>
          <w:rFonts w:hint="eastAsia" w:asciiTheme="minorEastAsia" w:hAnsiTheme="minorEastAsia" w:cstheme="minorEastAsia"/>
          <w:color w:val="auto"/>
          <w:kern w:val="2"/>
          <w:sz w:val="28"/>
          <w:szCs w:val="36"/>
          <w:lang w:val="en-US" w:eastAsia="zh-CN" w:bidi="ar-SA"/>
        </w:rPr>
        <w:t>。</w:t>
      </w:r>
      <w:r>
        <w:rPr>
          <w:rFonts w:hint="eastAsia" w:asciiTheme="minorEastAsia" w:hAnsiTheme="minorEastAsia" w:eastAsiaTheme="minorEastAsia" w:cstheme="minorEastAsia"/>
          <w:color w:val="auto"/>
          <w:kern w:val="2"/>
          <w:sz w:val="28"/>
          <w:szCs w:val="36"/>
          <w:lang w:val="en-US" w:eastAsia="zh-CN" w:bidi="ar-SA"/>
        </w:rPr>
        <w:t>排痰操作（如叩击、振动、咳嗽诱导）会显著增加空气中含菌飞沫和气溶胶的浓度，大大提升交叉感染风险。因此，除了遵循《WS/T 367 医疗机构消毒技术规范》等通用标准外，必须增设针对呼吸道传染病排痰操作的特殊消毒条款，以保护患者和医护人员。</w:t>
      </w:r>
    </w:p>
    <w:p w14:paraId="1C00045A">
      <w:pPr>
        <w:pStyle w:val="29"/>
        <w:numPr>
          <w:ilvl w:val="0"/>
          <w:numId w:val="10"/>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患者准备</w:t>
      </w:r>
    </w:p>
    <w:p w14:paraId="1DD79B65">
      <w:pPr>
        <w:pStyle w:val="29"/>
        <w:spacing w:line="520" w:lineRule="exact"/>
        <w:ind w:left="0" w:leftChars="0"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在通过双重身份核查机制，确保各项操作精准执行于正确的患者，从根本上杜绝医疗差错，保障医疗安全；同时，要求体位的选择必须基于对病变部位、痰液蓄积位置的精准评估并结合患者的个体耐受度，其目的是通过调整身体方位，巧妙利用重力效应，引导分泌物向主支气管移动，并为排痰操作（如叩击）提供最佳通路，从而在保证患者安全与舒适的前提下，最大化排痰的效率和效果。</w:t>
      </w:r>
    </w:p>
    <w:p w14:paraId="119956CC">
      <w:pPr>
        <w:pStyle w:val="29"/>
        <w:numPr>
          <w:ilvl w:val="0"/>
          <w:numId w:val="10"/>
        </w:numPr>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操作者准备</w:t>
      </w:r>
    </w:p>
    <w:p w14:paraId="4E5C4DC8">
      <w:pPr>
        <w:pStyle w:val="29"/>
        <w:spacing w:line="520" w:lineRule="exact"/>
        <w:ind w:left="0" w:leftChars="0"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在通过严格执行手卫生与佩戴全面防护装备，双向阻断病原体通过接触与空气气溶胶的传播途径，在保障操作者安全的同时，最大限度降低患者之间及医疗环境中的交叉感染风险。</w:t>
      </w:r>
    </w:p>
    <w:p w14:paraId="709C1C74">
      <w:pPr>
        <w:pStyle w:val="29"/>
        <w:numPr>
          <w:ilvl w:val="0"/>
          <w:numId w:val="9"/>
        </w:numPr>
        <w:spacing w:line="520" w:lineRule="exact"/>
        <w:ind w:left="0" w:leftChars="0" w:firstLine="0" w:firstLineChars="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护理要点</w:t>
      </w:r>
    </w:p>
    <w:p w14:paraId="78DA7F8D">
      <w:pPr>
        <w:pStyle w:val="29"/>
        <w:spacing w:line="520" w:lineRule="exact"/>
        <w:ind w:left="0" w:leftChars="0" w:firstLine="562" w:firstLineChars="200"/>
        <w:rPr>
          <w:rFonts w:hint="eastAsia" w:ascii="仿宋_GB2312" w:eastAsia="仿宋_GB2312" w:cs="仿宋"/>
          <w:b/>
          <w:bCs w:val="0"/>
          <w:color w:val="auto"/>
          <w:sz w:val="28"/>
          <w:szCs w:val="28"/>
          <w:lang w:val="en-US" w:eastAsia="zh-CN"/>
        </w:rPr>
      </w:pPr>
      <w:r>
        <w:rPr>
          <w:rFonts w:hint="eastAsia" w:ascii="仿宋_GB2312" w:eastAsia="仿宋_GB2312" w:cs="仿宋"/>
          <w:b/>
          <w:bCs w:val="0"/>
          <w:color w:val="auto"/>
          <w:sz w:val="28"/>
          <w:szCs w:val="28"/>
          <w:lang w:val="en-US" w:eastAsia="zh-CN"/>
        </w:rPr>
        <w:t>（1）咳嗽训练</w:t>
      </w:r>
    </w:p>
    <w:p w14:paraId="62EC942D">
      <w:pPr>
        <w:pStyle w:val="29"/>
        <w:spacing w:line="520" w:lineRule="exact"/>
        <w:ind w:left="0" w:leftChars="0"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结合编制组工作经验并参考《British Thoracic Society Guideline for bronchiectasis in adults》明确了咳嗽训练适用于咳嗽能力评分1～3分且痰液黏稠度I～II级的患者。</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096BF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E9AF45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391232F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适用情况</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1F37C6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患者统计</w:t>
            </w:r>
          </w:p>
        </w:tc>
      </w:tr>
      <w:tr w14:paraId="3696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9D5829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5FB4B69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适用于咳嗽能力评分1～3分且痰液黏稠度I～II级的患者。</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3FECE3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共有367名患者进行咳嗽训练</w:t>
            </w:r>
          </w:p>
        </w:tc>
      </w:tr>
      <w:tr w14:paraId="01DF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903A1C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20F4491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2012DA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共有455名患者进行咳嗽训练</w:t>
            </w:r>
          </w:p>
        </w:tc>
      </w:tr>
      <w:tr w14:paraId="6F35A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AB38F7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05D9A73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471697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共有589名患者进行咳嗽训练</w:t>
            </w:r>
          </w:p>
        </w:tc>
      </w:tr>
    </w:tbl>
    <w:p w14:paraId="518AA2A3">
      <w:pPr>
        <w:pStyle w:val="29"/>
        <w:spacing w:line="520" w:lineRule="exact"/>
        <w:ind w:left="0" w:leftChars="0"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highlight w:val="none"/>
          <w:lang w:val="en-US" w:eastAsia="zh-CN"/>
        </w:rPr>
        <w:t>结合编制组工作经验并参考《气道净化技术护理》《慢性呼吸疾病康</w:t>
      </w:r>
      <w:r>
        <w:rPr>
          <w:rFonts w:hint="eastAsia" w:ascii="仿宋_GB2312" w:eastAsia="仿宋_GB2312"/>
          <w:color w:val="auto"/>
          <w:sz w:val="28"/>
          <w:szCs w:val="28"/>
          <w:lang w:val="en-US" w:eastAsia="zh-CN"/>
        </w:rPr>
        <w:t xml:space="preserve">复临床操作路径》明确具体训练护理操作。先行5～6次深缓呼吸是为了放松气道平滑肌、提高肺顺应性并为后续深呼吸做准备；吸气后稍屏气2s～3s可使吸入气体在肺内更均匀分布，避免肺泡塌陷并延长气体交换时间；指导患者缩唇缓慢呼气且吸呼比设为1:2，是参考《气道净化技术护理》《慢性呼吸疾病康复临床操作路径》，通过增加气道内正压防止小气道过早闭合，促进二氧化碳排出并缓解呼吸困难；最后进行2～3次短促有力的咳嗽，是通过瞬间增加胸腹腔压力产生高速气流，模拟自然咳嗽的生理性清除机制，从而高效地将远端支气管分泌物向大气道移动，为咳出创造条件。 </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40860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8D2320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47EE370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861A68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4F675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8022A7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1E67ABDC">
            <w:pPr>
              <w:pStyle w:val="45"/>
              <w:keepNext w:val="0"/>
              <w:keepLines w:val="0"/>
              <w:pageBreakBefore w:val="0"/>
              <w:widowControl w:val="0"/>
              <w:numPr>
                <w:ilvl w:val="0"/>
                <w:numId w:val="11"/>
              </w:numPr>
              <w:suppressLineNumbers w:val="0"/>
              <w:kinsoku/>
              <w:wordWrap/>
              <w:overflowPunct/>
              <w:topLinePunct w:val="0"/>
              <w:bidi w:val="0"/>
              <w:adjustRightInd/>
              <w:snapToGrid/>
              <w:spacing w:beforeAutospacing="0" w:afterAutospacing="0"/>
              <w:ind w:left="0" w:leftChars="0" w:right="0" w:firstLine="0" w:firstLineChars="0"/>
              <w:jc w:val="left"/>
              <w:textAlignment w:val="auto"/>
              <w:rPr>
                <w:rFonts w:hint="default"/>
                <w:color w:val="auto"/>
                <w:szCs w:val="20"/>
                <w:highlight w:val="none"/>
              </w:rPr>
            </w:pPr>
            <w:r>
              <w:rPr>
                <w:rFonts w:hint="eastAsia"/>
                <w:color w:val="auto"/>
                <w:szCs w:val="20"/>
                <w:highlight w:val="none"/>
              </w:rPr>
              <w:t>宜协助患者取端坐位，先行5～6次深缓呼吸。</w:t>
            </w:r>
          </w:p>
          <w:p w14:paraId="2085D6AF">
            <w:pPr>
              <w:pStyle w:val="45"/>
              <w:keepNext w:val="0"/>
              <w:keepLines w:val="0"/>
              <w:pageBreakBefore w:val="0"/>
              <w:widowControl w:val="0"/>
              <w:numPr>
                <w:ilvl w:val="0"/>
                <w:numId w:val="11"/>
              </w:numPr>
              <w:suppressLineNumbers w:val="0"/>
              <w:kinsoku/>
              <w:wordWrap/>
              <w:overflowPunct/>
              <w:topLinePunct w:val="0"/>
              <w:bidi w:val="0"/>
              <w:adjustRightInd/>
              <w:snapToGrid/>
              <w:spacing w:beforeAutospacing="0" w:afterAutospacing="0"/>
              <w:ind w:left="0" w:leftChars="0" w:right="0" w:firstLine="0" w:firstLineChars="0"/>
              <w:jc w:val="left"/>
              <w:textAlignment w:val="auto"/>
              <w:rPr>
                <w:rFonts w:hint="default"/>
                <w:color w:val="auto"/>
                <w:szCs w:val="20"/>
                <w:highlight w:val="none"/>
              </w:rPr>
            </w:pPr>
            <w:r>
              <w:rPr>
                <w:rFonts w:hint="eastAsia"/>
                <w:color w:val="auto"/>
                <w:szCs w:val="20"/>
                <w:highlight w:val="none"/>
              </w:rPr>
              <w:t>指导患者闭嘴经鼻深吸气，腹部隆起，吸气后稍屏气 2</w:t>
            </w:r>
            <w:r>
              <w:rPr>
                <w:rFonts w:hint="default"/>
                <w:color w:val="auto"/>
                <w:szCs w:val="20"/>
                <w:highlight w:val="none"/>
                <w:vertAlign w:val="subscript"/>
              </w:rPr>
              <w:t xml:space="preserve"> </w:t>
            </w:r>
            <w:r>
              <w:rPr>
                <w:rFonts w:hint="eastAsia"/>
                <w:color w:val="auto"/>
                <w:szCs w:val="20"/>
                <w:highlight w:val="none"/>
              </w:rPr>
              <w:t>s～3</w:t>
            </w:r>
            <w:r>
              <w:rPr>
                <w:rFonts w:hint="default"/>
                <w:color w:val="auto"/>
                <w:szCs w:val="20"/>
                <w:highlight w:val="none"/>
                <w:vertAlign w:val="subscript"/>
              </w:rPr>
              <w:t xml:space="preserve"> </w:t>
            </w:r>
            <w:r>
              <w:rPr>
                <w:rFonts w:hint="eastAsia"/>
                <w:color w:val="auto"/>
                <w:szCs w:val="20"/>
                <w:highlight w:val="none"/>
              </w:rPr>
              <w:t>s。</w:t>
            </w:r>
          </w:p>
          <w:p w14:paraId="5D7C73C3">
            <w:pPr>
              <w:pStyle w:val="45"/>
              <w:keepNext w:val="0"/>
              <w:keepLines w:val="0"/>
              <w:pageBreakBefore w:val="0"/>
              <w:widowControl w:val="0"/>
              <w:numPr>
                <w:ilvl w:val="0"/>
                <w:numId w:val="11"/>
              </w:numPr>
              <w:suppressLineNumbers w:val="0"/>
              <w:kinsoku/>
              <w:wordWrap/>
              <w:overflowPunct/>
              <w:topLinePunct w:val="0"/>
              <w:bidi w:val="0"/>
              <w:adjustRightInd/>
              <w:snapToGrid/>
              <w:spacing w:beforeAutospacing="0" w:afterAutospacing="0"/>
              <w:ind w:left="0" w:leftChars="0" w:right="0" w:firstLine="0" w:firstLineChars="0"/>
              <w:jc w:val="left"/>
              <w:textAlignment w:val="auto"/>
              <w:rPr>
                <w:rFonts w:hint="default"/>
                <w:color w:val="auto"/>
                <w:szCs w:val="20"/>
                <w:highlight w:val="none"/>
              </w:rPr>
            </w:pPr>
            <w:r>
              <w:rPr>
                <w:rFonts w:hint="eastAsia"/>
                <w:color w:val="auto"/>
                <w:szCs w:val="20"/>
                <w:highlight w:val="none"/>
              </w:rPr>
              <w:t>指导患者通过通过缩唇（吹口哨样）缓慢呼气，吸呼比1：2。</w:t>
            </w:r>
          </w:p>
          <w:p w14:paraId="2D4773D1">
            <w:pPr>
              <w:pStyle w:val="45"/>
              <w:keepNext w:val="0"/>
              <w:keepLines w:val="0"/>
              <w:pageBreakBefore w:val="0"/>
              <w:widowControl w:val="0"/>
              <w:numPr>
                <w:ilvl w:val="0"/>
                <w:numId w:val="11"/>
              </w:numPr>
              <w:suppressLineNumbers w:val="0"/>
              <w:kinsoku/>
              <w:wordWrap/>
              <w:overflowPunct/>
              <w:topLinePunct w:val="0"/>
              <w:bidi w:val="0"/>
              <w:adjustRightInd/>
              <w:snapToGrid/>
              <w:spacing w:beforeAutospacing="0" w:afterAutospacing="0"/>
              <w:ind w:left="0" w:leftChars="0" w:right="0" w:firstLine="0" w:firstLineChars="0"/>
              <w:jc w:val="left"/>
              <w:textAlignment w:val="auto"/>
              <w:rPr>
                <w:rFonts w:hint="default"/>
                <w:color w:val="auto"/>
                <w:szCs w:val="20"/>
                <w:highlight w:val="none"/>
              </w:rPr>
            </w:pPr>
            <w:r>
              <w:rPr>
                <w:rFonts w:hint="eastAsia"/>
                <w:color w:val="auto"/>
                <w:szCs w:val="20"/>
                <w:highlight w:val="none"/>
              </w:rPr>
              <w:t>患者身体前倾，进行2～3次短促有力的咳嗽，同时在咳嗽时收缩腹肌，或用手按压上腹部，以促进痰液排出。</w:t>
            </w:r>
          </w:p>
          <w:p w14:paraId="365B6D1C">
            <w:pPr>
              <w:pStyle w:val="12"/>
              <w:keepNext w:val="0"/>
              <w:keepLines w:val="0"/>
              <w:pageBreakBefore w:val="0"/>
              <w:widowControl w:val="0"/>
              <w:numPr>
                <w:ilvl w:val="0"/>
                <w:numId w:val="11"/>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Theme="minorEastAsia" w:hAnsiTheme="minorEastAsia" w:eastAsiaTheme="minorEastAsia" w:cstheme="minorEastAsia"/>
                <w:color w:val="auto"/>
                <w:sz w:val="21"/>
                <w:szCs w:val="21"/>
                <w:highlight w:val="none"/>
              </w:rPr>
              <w:t>每次持续时间宜为10min～15</w:t>
            </w:r>
            <w:bookmarkStart w:id="1" w:name="OLE_LINK6"/>
            <w:bookmarkStart w:id="2" w:name="OLE_LINK7"/>
            <w:r>
              <w:rPr>
                <w:rFonts w:hint="eastAsia" w:asciiTheme="minorEastAsia" w:hAnsiTheme="minorEastAsia" w:eastAsiaTheme="minorEastAsia" w:cstheme="minorEastAsia"/>
                <w:color w:val="auto"/>
                <w:sz w:val="21"/>
                <w:szCs w:val="21"/>
                <w:highlight w:val="none"/>
                <w:vertAlign w:val="subscript"/>
              </w:rPr>
              <w:t xml:space="preserve"> </w:t>
            </w:r>
            <w:r>
              <w:rPr>
                <w:rFonts w:hint="eastAsia" w:asciiTheme="minorEastAsia" w:hAnsiTheme="minorEastAsia" w:eastAsiaTheme="minorEastAsia" w:cstheme="minorEastAsia"/>
                <w:color w:val="auto"/>
                <w:sz w:val="21"/>
                <w:szCs w:val="21"/>
                <w:highlight w:val="none"/>
              </w:rPr>
              <w:t>min</w:t>
            </w:r>
            <w:bookmarkEnd w:id="1"/>
            <w:bookmarkEnd w:id="2"/>
            <w:r>
              <w:rPr>
                <w:rFonts w:hint="eastAsia" w:asciiTheme="minorEastAsia" w:hAnsiTheme="minorEastAsia" w:eastAsiaTheme="minorEastAsia" w:cstheme="minorEastAsia"/>
                <w:color w:val="auto"/>
                <w:sz w:val="21"/>
                <w:szCs w:val="21"/>
                <w:highlight w:val="none"/>
              </w:rPr>
              <w:t>，3次/日或根据患者痰液蓄积情况增减频率。</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08DE2E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367</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1.5%</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97.8</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1B65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3B2C35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45BFEFA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4365BB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455</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1.3%</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98.4</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20EB6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C65FAE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6C4E835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712B64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589</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0.9%</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98.8</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67E3D379">
      <w:pPr>
        <w:pStyle w:val="29"/>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（2）叩击排痰</w:t>
      </w:r>
    </w:p>
    <w:p w14:paraId="3B4AEC5A">
      <w:pPr>
        <w:pStyle w:val="29"/>
        <w:spacing w:line="520" w:lineRule="exact"/>
        <w:ind w:left="0" w:leftChars="0" w:firstLine="560" w:firstLineChars="200"/>
        <w:rPr>
          <w:rFonts w:hint="eastAsia" w:ascii="仿宋_GB2312" w:eastAsia="仿宋_GB2312"/>
          <w:color w:val="auto"/>
          <w:sz w:val="28"/>
          <w:szCs w:val="28"/>
          <w:highlight w:val="none"/>
          <w:lang w:val="en-US" w:eastAsia="zh-CN"/>
        </w:rPr>
      </w:pPr>
      <w:r>
        <w:rPr>
          <w:rFonts w:hint="eastAsia" w:ascii="仿宋_GB2312" w:eastAsia="仿宋_GB2312"/>
          <w:color w:val="auto"/>
          <w:sz w:val="28"/>
          <w:szCs w:val="28"/>
          <w:highlight w:val="none"/>
          <w:lang w:val="en-US" w:eastAsia="zh-CN"/>
        </w:rPr>
        <w:t>叩击排痰分为人工叩击、体外振动排痰仪叩击。结合编制组工作经验并参考《European Respiratory Society statement on airway clearance techniques in adults with bronchiectasis》和根据支气管解剖位置叩击排痰对呼吸内科患者肺部感染的预防价值，明确了适用于咳嗽能力评分2～5分且痰液黏稠度II～III级的患者。</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1407E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53AF3C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049E040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适用情况</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4819FE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患者统计</w:t>
            </w:r>
          </w:p>
        </w:tc>
      </w:tr>
      <w:tr w14:paraId="0763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351067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3D2A375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适用于咳嗽能力评分2～5分且痰液黏稠度II～III级的患者。</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844E44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共有286名患者进行咳嗽训练</w:t>
            </w:r>
          </w:p>
        </w:tc>
      </w:tr>
      <w:tr w14:paraId="01B09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318DAC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7FBE76A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B8D58F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共有344名患者进行咳嗽训练</w:t>
            </w:r>
          </w:p>
        </w:tc>
      </w:tr>
      <w:tr w14:paraId="4036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1ADDB7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0013CF5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8CF031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共有368名患者进行咳嗽训练</w:t>
            </w:r>
          </w:p>
        </w:tc>
      </w:tr>
    </w:tbl>
    <w:p w14:paraId="5068527C">
      <w:pPr>
        <w:pStyle w:val="29"/>
        <w:spacing w:line="520" w:lineRule="exact"/>
        <w:ind w:left="0" w:leftChars="0" w:firstLine="562" w:firstLineChars="200"/>
        <w:rPr>
          <w:rFonts w:hint="eastAsia" w:ascii="仿宋_GB2312" w:eastAsia="仿宋_GB2312"/>
          <w:color w:val="auto"/>
          <w:sz w:val="28"/>
          <w:szCs w:val="28"/>
          <w:highlight w:val="none"/>
          <w:lang w:val="en-US" w:eastAsia="zh-CN"/>
        </w:rPr>
      </w:pPr>
      <w:r>
        <w:rPr>
          <w:rFonts w:hint="eastAsia" w:ascii="仿宋_GB2312" w:eastAsia="仿宋_GB2312"/>
          <w:b/>
          <w:bCs/>
          <w:color w:val="auto"/>
          <w:sz w:val="28"/>
          <w:szCs w:val="28"/>
          <w:highlight w:val="none"/>
          <w:lang w:val="en-US" w:eastAsia="zh-CN"/>
        </w:rPr>
        <w:t>人工叩击</w:t>
      </w:r>
      <w:r>
        <w:rPr>
          <w:rFonts w:hint="eastAsia" w:ascii="仿宋_GB2312" w:eastAsia="仿宋_GB2312"/>
          <w:color w:val="auto"/>
          <w:sz w:val="28"/>
          <w:szCs w:val="28"/>
          <w:highlight w:val="none"/>
          <w:lang w:val="en-US" w:eastAsia="zh-CN"/>
        </w:rPr>
        <w:t>拍击背部从第10肋间隙、胸部从第6肋间隙开始是因该区域为肺下叶支气管开口所在位置，从肺底部开始叩击符合由下至上、由外至内的重力引流原则，能更高效地将外周分泌物向主气道震荡移动，力度以患者耐受为宜，速度宜为120次/min～180次/min，是因速度过快会使叩击力无法充分深入传导至深部支气管，仅作用于体表，降低松动分泌物效果；速度过慢则无法形成连续稳定的振动波，难以有效打破痰液与气道壁的黏附力，同样影响排痰效率。振动排痰机和人工胸部叩击排痰效果比较，每次持续时间宜为10 min～15 min。整体操作步骤参考《气道净化技术护理》《慢性呼吸疾病康复临床操作路径》</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1FD7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6EF7ED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3F3A32F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1EA420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7307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60AEDA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3F7EA5E8">
            <w:pPr>
              <w:pStyle w:val="12"/>
              <w:keepNext w:val="0"/>
              <w:keepLines w:val="0"/>
              <w:pageBreakBefore w:val="0"/>
              <w:widowControl w:val="0"/>
              <w:numPr>
                <w:ilvl w:val="0"/>
                <w:numId w:val="12"/>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宜协助患者取端坐位；</w:t>
            </w:r>
          </w:p>
          <w:p w14:paraId="30F41234">
            <w:pPr>
              <w:pStyle w:val="12"/>
              <w:keepNext w:val="0"/>
              <w:keepLines w:val="0"/>
              <w:pageBreakBefore w:val="0"/>
              <w:widowControl w:val="0"/>
              <w:numPr>
                <w:ilvl w:val="0"/>
                <w:numId w:val="12"/>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五指并拢呈空杯状，腕部用力，采用自下而上、由外向内的方向，规律而快速叩拍胸背部；</w:t>
            </w:r>
          </w:p>
          <w:p w14:paraId="414686D4">
            <w:pPr>
              <w:pStyle w:val="12"/>
              <w:keepNext w:val="0"/>
              <w:keepLines w:val="0"/>
              <w:pageBreakBefore w:val="0"/>
              <w:widowControl w:val="0"/>
              <w:numPr>
                <w:ilvl w:val="0"/>
                <w:numId w:val="12"/>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背部</w:t>
            </w:r>
            <w:r>
              <w:rPr>
                <w:rFonts w:hint="eastAsia" w:ascii="仿宋_GB2312" w:hAnsi="仿宋_GB2312" w:eastAsia="仿宋_GB2312" w:cs="仿宋_GB2312"/>
                <w:color w:val="auto"/>
                <w:highlight w:val="none"/>
              </w:rPr>
              <w:t>从第10肋间隙、胸部从第6肋间隙开始，力度以患者耐受为宜，速度宜为120次/min～180次/min；</w:t>
            </w:r>
          </w:p>
          <w:p w14:paraId="37B6D856">
            <w:pPr>
              <w:pStyle w:val="12"/>
              <w:keepNext w:val="0"/>
              <w:keepLines w:val="0"/>
              <w:pageBreakBefore w:val="0"/>
              <w:widowControl w:val="0"/>
              <w:numPr>
                <w:ilvl w:val="0"/>
                <w:numId w:val="12"/>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仿宋_GB2312" w:eastAsia="仿宋_GB2312" w:cs="仿宋_GB2312"/>
                <w:color w:val="auto"/>
                <w:highlight w:val="none"/>
              </w:rPr>
              <w:t>每次持续时间宜为10 min～15 min，3～4次/日或根据患者痰液蓄积情况增减频率。</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5AACD6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145</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2.3%</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95.9</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0AEE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79F84E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042DD9A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D0A234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201</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2.2%</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95.4</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4C02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8F69F9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691FF89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FB2E32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189</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1.7%</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96.6</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1D7EF005">
      <w:pPr>
        <w:pStyle w:val="29"/>
        <w:spacing w:line="520" w:lineRule="exact"/>
        <w:ind w:left="0" w:leftChars="0" w:firstLine="562"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bCs/>
          <w:color w:val="auto"/>
          <w:sz w:val="28"/>
          <w:szCs w:val="28"/>
          <w:highlight w:val="none"/>
          <w:lang w:val="en-US" w:eastAsia="zh-CN"/>
        </w:rPr>
        <w:t>体外振动排痰仪叩击</w:t>
      </w:r>
      <w:r>
        <w:rPr>
          <w:rFonts w:hint="eastAsia" w:ascii="仿宋_GB2312" w:eastAsia="仿宋_GB2312"/>
          <w:b w:val="0"/>
          <w:bCs w:val="0"/>
          <w:color w:val="auto"/>
          <w:sz w:val="28"/>
          <w:szCs w:val="28"/>
          <w:highlight w:val="none"/>
          <w:lang w:val="en-US" w:eastAsia="zh-CN"/>
        </w:rPr>
        <w:t>初始振幅设置为15 Hz～25 Hz是因该频率范围产生的机械波能够有效穿透胸壁组织，抵达深部支气管，产生足够的剪切力以松动黏附的痰液，同时避免高频振动对内脏及骨骼造成不适或损伤。速度为20 cps（每秒振动周期）/s～25 cps（每秒振动周期）/s是为了确保振动能量能持续、均匀地传递至分泌物；速度过高（＞25 cps）会使振动过于剧烈，可能导致患者胸壁肌肉紧张、疼痛或支气管痉挛，反而抑制有效排痰。振动频率为600转/min～1200转/min，该中低频范围能产生最佳的共振效应，使痰液更易从气道壁脱落；频率过高（＞1200转/min）则可能使振动过于表浅，能量无法有效深入肺实质，并显著增加患者不适感。最大振幅限制在≤25 Hz，是因超过此阈值（＞25 Hz）的高能振动可能超越胸廓及肺组织的生理耐受限度，引发胸痛、心律失常或组织损伤风险。每位部位叩击10 s～15 s，是因该时长足以在该肺段产生有效的痰液松动效应；时间过短（＜10 s）则作用不充分，效果欠佳；时间过长（＞15 s）则可能造成局部组织损伤或皮肤破损，且整体治疗时间不必要的延长易导致患者疲劳。</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3471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887D15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170A2C2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0DCBAD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3AF5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3"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FFCC41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4A9D9139">
            <w:pPr>
              <w:pStyle w:val="12"/>
              <w:keepNext w:val="0"/>
              <w:keepLines w:val="0"/>
              <w:pageBreakBefore w:val="0"/>
              <w:widowControl w:val="0"/>
              <w:numPr>
                <w:ilvl w:val="0"/>
                <w:numId w:val="13"/>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协助患者取端坐位、半坐卧位或侧卧位；</w:t>
            </w:r>
          </w:p>
          <w:p w14:paraId="53EFD849">
            <w:pPr>
              <w:pStyle w:val="12"/>
              <w:keepNext w:val="0"/>
              <w:keepLines w:val="0"/>
              <w:pageBreakBefore w:val="0"/>
              <w:widowControl w:val="0"/>
              <w:numPr>
                <w:ilvl w:val="0"/>
                <w:numId w:val="13"/>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根据患者年龄与身体状况选择叩击头，年老体弱者宜选用Y型叩击头或圆形海绵叩击头，青壮年宜选用圆形滑面接头；</w:t>
            </w:r>
          </w:p>
          <w:p w14:paraId="6FCF00E2">
            <w:pPr>
              <w:pStyle w:val="12"/>
              <w:keepNext w:val="0"/>
              <w:keepLines w:val="0"/>
              <w:pageBreakBefore w:val="0"/>
              <w:widowControl w:val="0"/>
              <w:numPr>
                <w:ilvl w:val="0"/>
                <w:numId w:val="13"/>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初始振幅设置为15 Hz～25 Hz，速度为20 cps（每秒振动周期）/s～25 cps（每秒振动周期）/s，振动频率为600转/min～1200转/min。应根据患者耐受情况适当调整参数，最大振幅≤25Hz。</w:t>
            </w:r>
          </w:p>
          <w:p w14:paraId="592B94EF">
            <w:pPr>
              <w:pStyle w:val="12"/>
              <w:keepNext w:val="0"/>
              <w:keepLines w:val="0"/>
              <w:pageBreakBefore w:val="0"/>
              <w:widowControl w:val="0"/>
              <w:numPr>
                <w:ilvl w:val="0"/>
                <w:numId w:val="13"/>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左手扶住患者肩膀，右手握住叩击头手柄，将叩击柄放置于患者背部，采用自下而上、由外向内的方向，缓慢匀速移动叩击头，保持叩击柄箭头方向始终指向气管；</w:t>
            </w:r>
          </w:p>
          <w:p w14:paraId="3D81553F">
            <w:pPr>
              <w:pStyle w:val="12"/>
              <w:keepNext w:val="0"/>
              <w:keepLines w:val="0"/>
              <w:pageBreakBefore w:val="0"/>
              <w:widowControl w:val="0"/>
              <w:numPr>
                <w:ilvl w:val="0"/>
                <w:numId w:val="13"/>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仿宋_GB2312" w:eastAsia="仿宋_GB2312" w:cs="仿宋_GB2312"/>
                <w:color w:val="auto"/>
                <w:highlight w:val="none"/>
              </w:rPr>
              <w:t>每位部位叩击10 s～15 s，每次持续时间宜为15 min～20 min，3～4次/日或根据患者痰液蓄积情况增减频率。</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283868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141</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1.4%</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97.8</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492F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A2F9DF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3BA6079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E3A713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143</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1.3%</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98.3</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6EC72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2BF81D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7A39D5B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640165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179</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1.6%</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98.3</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3C52EB83">
      <w:pPr>
        <w:pStyle w:val="29"/>
        <w:numPr>
          <w:ilvl w:val="0"/>
          <w:numId w:val="14"/>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高频胸壁振荡排痰</w:t>
      </w:r>
    </w:p>
    <w:p w14:paraId="59F419EF">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结合编制组工作经验并参考《Effects of High-Frequency Chest Wall Oscillation on Acute Exacerbation of Chronic Obstructive Pulmonary Disease: A Systematic Review and Meta-Analysis of Randomized Controlled Trials》《Effectiveness of treatment with high-frequency chest wall oscillation in patients with bronchiectasis》明确了适用于咳嗽能力评分2～5分且痰液黏稠度II～IV级的患者。</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48328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2220C1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5246CC6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适用情况</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94A057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患者统计</w:t>
            </w:r>
          </w:p>
        </w:tc>
      </w:tr>
      <w:tr w14:paraId="6878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16F405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4CAE71C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适用于咳嗽能力评分2～5分且痰液黏稠度II～IV级的患者。</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D5FB2C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共有233名患者进行咳嗽训练</w:t>
            </w:r>
          </w:p>
        </w:tc>
      </w:tr>
      <w:tr w14:paraId="1A28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52AC94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7BCAFD4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B70D21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共有250名患者进行咳嗽训练</w:t>
            </w:r>
          </w:p>
        </w:tc>
      </w:tr>
      <w:tr w14:paraId="6FEC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D4FB5C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7FD97CE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D3BF50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共有278名患者进行咳嗽训练</w:t>
            </w:r>
          </w:p>
        </w:tc>
      </w:tr>
    </w:tbl>
    <w:p w14:paraId="1C614107">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气道净化技术护理》明确根据患者胸围、肩宽等体型数据选择大小合适的充气背心。需协助患者穿戴充气背心，上至锁骨下缘，下至肋弓下缘，应确保覆盖整个肺野，合理调节背心松紧度，以能够置入2指为宜。</w:t>
      </w:r>
    </w:p>
    <w:p w14:paraId="57F527ED">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结合工作经验及参考《重症患者气道廓清技术专家共识》《European Respiratory Society statement on airway clearance techniques in adults with Bronchiectasis》《中国慢性呼吸道疾病呼吸康复管理指南（2021年）》《机械气道廓清技术临床应用专家共识》明确根据患者病情调节OPEP装置阻力为10 cmH</w:t>
      </w:r>
      <w:r>
        <w:rPr>
          <w:rFonts w:hint="eastAsia" w:ascii="仿宋_GB2312" w:eastAsia="仿宋_GB2312"/>
          <w:b w:val="0"/>
          <w:bCs w:val="0"/>
          <w:color w:val="auto"/>
          <w:sz w:val="28"/>
          <w:szCs w:val="28"/>
          <w:highlight w:val="none"/>
          <w:vertAlign w:val="subscript"/>
          <w:lang w:val="en-US" w:eastAsia="zh-CN"/>
        </w:rPr>
        <w:t>2</w:t>
      </w:r>
      <w:r>
        <w:rPr>
          <w:rFonts w:hint="eastAsia" w:ascii="仿宋_GB2312" w:eastAsia="仿宋_GB2312"/>
          <w:b w:val="0"/>
          <w:bCs w:val="0"/>
          <w:color w:val="auto"/>
          <w:sz w:val="28"/>
          <w:szCs w:val="28"/>
          <w:highlight w:val="none"/>
          <w:lang w:val="en-US" w:eastAsia="zh-CN"/>
        </w:rPr>
        <w:t>O～20 cmH</w:t>
      </w:r>
      <w:r>
        <w:rPr>
          <w:rFonts w:hint="eastAsia" w:ascii="仿宋_GB2312" w:eastAsia="仿宋_GB2312"/>
          <w:b w:val="0"/>
          <w:bCs w:val="0"/>
          <w:color w:val="auto"/>
          <w:sz w:val="28"/>
          <w:szCs w:val="28"/>
          <w:highlight w:val="none"/>
          <w:vertAlign w:val="subscript"/>
          <w:lang w:val="en-US" w:eastAsia="zh-CN"/>
        </w:rPr>
        <w:t>2</w:t>
      </w:r>
      <w:r>
        <w:rPr>
          <w:rFonts w:hint="eastAsia" w:ascii="仿宋_GB2312" w:eastAsia="仿宋_GB2312"/>
          <w:b w:val="0"/>
          <w:bCs w:val="0"/>
          <w:color w:val="auto"/>
          <w:sz w:val="28"/>
          <w:szCs w:val="28"/>
          <w:highlight w:val="none"/>
          <w:lang w:val="en-US" w:eastAsia="zh-CN"/>
        </w:rPr>
        <w:t>O，初次使用从最低阻力档开始。初始频率设置为5 Hz，最高达10 Hz～15 Hz。</w:t>
      </w:r>
    </w:p>
    <w:p w14:paraId="7F9A99FF">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参考《气道净化技术护理》《慢性呼吸疾病康复临床操作路径》每次持续时间宜为20 min～30 min。</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415EB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6A5251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7FC6942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832223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5B7A4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6F3A2C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44C9838E">
            <w:pPr>
              <w:pStyle w:val="12"/>
              <w:keepNext w:val="0"/>
              <w:keepLines w:val="0"/>
              <w:pageBreakBefore w:val="0"/>
              <w:widowControl w:val="0"/>
              <w:numPr>
                <w:ilvl w:val="0"/>
                <w:numId w:val="15"/>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宜协助患者取端坐位或半坐卧位。</w:t>
            </w:r>
          </w:p>
          <w:p w14:paraId="3FAED444">
            <w:pPr>
              <w:pStyle w:val="12"/>
              <w:keepNext w:val="0"/>
              <w:keepLines w:val="0"/>
              <w:pageBreakBefore w:val="0"/>
              <w:widowControl w:val="0"/>
              <w:numPr>
                <w:ilvl w:val="0"/>
                <w:numId w:val="15"/>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根据患者胸围、肩宽等体型数据选择大小合适的充气背心。</w:t>
            </w:r>
          </w:p>
          <w:p w14:paraId="1FCA25AF">
            <w:pPr>
              <w:pStyle w:val="12"/>
              <w:keepNext w:val="0"/>
              <w:keepLines w:val="0"/>
              <w:pageBreakBefore w:val="0"/>
              <w:widowControl w:val="0"/>
              <w:numPr>
                <w:ilvl w:val="0"/>
                <w:numId w:val="15"/>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协助患者穿戴充气背心，上至锁骨下缘，下至肋弓下缘，应确保覆盖整个肺野，合理调节背心松紧度，以能够置入2指为宜。</w:t>
            </w:r>
          </w:p>
          <w:p w14:paraId="48550DF3">
            <w:pPr>
              <w:pStyle w:val="12"/>
              <w:keepNext w:val="0"/>
              <w:keepLines w:val="0"/>
              <w:pageBreakBefore w:val="0"/>
              <w:widowControl w:val="0"/>
              <w:numPr>
                <w:ilvl w:val="0"/>
                <w:numId w:val="15"/>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根据患者病情调节OPEP装置阻力为10 cmH2O～20 cmH2O，初次使用从最低阻力档开始。初始频率设置为5 Hz，最高达10 Hz～15 Hz。</w:t>
            </w:r>
          </w:p>
          <w:p w14:paraId="7DB9A2B7">
            <w:pPr>
              <w:pStyle w:val="12"/>
              <w:keepNext w:val="0"/>
              <w:keepLines w:val="0"/>
              <w:pageBreakBefore w:val="0"/>
              <w:widowControl w:val="0"/>
              <w:numPr>
                <w:ilvl w:val="0"/>
                <w:numId w:val="15"/>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仿宋_GB2312" w:eastAsia="仿宋_GB2312" w:cs="仿宋_GB2312"/>
                <w:color w:val="auto"/>
                <w:highlight w:val="none"/>
              </w:rPr>
              <w:t>每次持续时间宜为20 min～30 min；3～4次/日或根据患者痰液蓄积情况增减频率。</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A04E7B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233</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2.5%</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98.2</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112E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CE818D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5211CEE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4598D7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250</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1.9%</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98.5</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0DB6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F893BE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1EAA484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26A858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278</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1.8%</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98.5</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7EA62A00">
      <w:pPr>
        <w:pStyle w:val="29"/>
        <w:numPr>
          <w:ilvl w:val="0"/>
          <w:numId w:val="14"/>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体位引流排痰</w:t>
      </w:r>
    </w:p>
    <w:p w14:paraId="6F5AFAB8">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结合编制组工作经验明确了适用于咳嗽能力评分3～5分且痰液黏稠度III～IV级的患者。</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2451C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210275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4601E53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适用情况</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375D87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患者统计</w:t>
            </w:r>
          </w:p>
        </w:tc>
      </w:tr>
      <w:tr w14:paraId="4996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7DDFDB2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1D122FD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适用于咳嗽能力评分3～5分且痰液黏稠度III～IV级的患者。</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1B2565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共有304名患者进行咳嗽训练</w:t>
            </w:r>
          </w:p>
        </w:tc>
      </w:tr>
      <w:tr w14:paraId="264F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F17BFA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01BFAD9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8AF1D7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共有286名患者进行咳嗽训练</w:t>
            </w:r>
          </w:p>
        </w:tc>
      </w:tr>
      <w:tr w14:paraId="5FAB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46BA4E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0BAEE0A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8BAF69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共有292名患者进行咳嗽训练</w:t>
            </w:r>
          </w:p>
        </w:tc>
      </w:tr>
    </w:tbl>
    <w:p w14:paraId="0C663841">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参考《重症患者气道廓清技术专家共识》《慢性呼吸道疾病患者非药物气道廓清技术的最佳证据总结》《支气管扩张症患者气道廓清技术的最佳证据总结》每次持续时间宜为30 min～45 min，2～3次/日或根据患者痰液蓄积情况增减频率，痰液较多时宜适当延长引流时间。</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7580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F812F4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26D0F14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507AAC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5B31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1DB655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07EA06EC">
            <w:pPr>
              <w:pStyle w:val="12"/>
              <w:keepNext w:val="0"/>
              <w:keepLines w:val="0"/>
              <w:pageBreakBefore w:val="0"/>
              <w:widowControl w:val="0"/>
              <w:numPr>
                <w:ilvl w:val="0"/>
                <w:numId w:val="16"/>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应遵循先上后下的原则，先引流肺上叶，后引流肺下叶后基底段，若存在多个需引流的部位，则从痰液较多的部位开始。</w:t>
            </w:r>
          </w:p>
          <w:p w14:paraId="78521CEC">
            <w:pPr>
              <w:pStyle w:val="12"/>
              <w:keepNext w:val="0"/>
              <w:keepLines w:val="0"/>
              <w:pageBreakBefore w:val="0"/>
              <w:widowControl w:val="0"/>
              <w:numPr>
                <w:ilvl w:val="0"/>
                <w:numId w:val="16"/>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引流过程中，应使病变部位在上，支气管开口处在下，鼓励并指导患者做腹式深呼吸，辅以胸部叩击或振荡等措施。</w:t>
            </w:r>
          </w:p>
          <w:p w14:paraId="6B0EB27D">
            <w:pPr>
              <w:pStyle w:val="12"/>
              <w:keepNext w:val="0"/>
              <w:keepLines w:val="0"/>
              <w:pageBreakBefore w:val="0"/>
              <w:widowControl w:val="0"/>
              <w:numPr>
                <w:ilvl w:val="0"/>
                <w:numId w:val="16"/>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仿宋_GB2312" w:eastAsia="仿宋_GB2312" w:cs="仿宋_GB2312"/>
                <w:color w:val="auto"/>
                <w:highlight w:val="none"/>
              </w:rPr>
              <w:t>每次持续时间宜为30 min～45 min，2～3次/日或根据患者痰液蓄积情况增减频率，痰液较多时宜适当延长引流时间。</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003556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304</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2.0%</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94.7</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745F3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C88B53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26C0F4F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D997A5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286</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2.4%</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95.8</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224E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66D878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60146C8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3BBFDC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292</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2.1%</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97.3</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19EA65B7">
      <w:pPr>
        <w:pStyle w:val="29"/>
        <w:numPr>
          <w:ilvl w:val="0"/>
          <w:numId w:val="14"/>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振荡呼气正压排痰</w:t>
      </w:r>
    </w:p>
    <w:p w14:paraId="7C338BBA">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结合编制组工作经验及参考《呼吸康复操联合振荡呼气正压装置在支气管扩张病人中的应用》明确了适用于咳嗽能力评分3～5分且痰液黏稠度III～IV级的患者。</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4EE8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6F9E05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78922D6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适用情况</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184434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患者统计</w:t>
            </w:r>
          </w:p>
        </w:tc>
      </w:tr>
      <w:tr w14:paraId="245FA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3E17B4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7CF9327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适用于咳嗽能力评分3～5分且痰液黏稠度III～IV级的患者。</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690806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共有198名患者进行咳嗽训练</w:t>
            </w:r>
          </w:p>
        </w:tc>
      </w:tr>
      <w:tr w14:paraId="3714B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0450A0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6ABB221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DE95A98">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共有222名患者进行咳嗽训练</w:t>
            </w:r>
          </w:p>
        </w:tc>
      </w:tr>
      <w:tr w14:paraId="6D11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523C0F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44C1623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97DFA1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共有254名患者进行咳嗽训练</w:t>
            </w:r>
          </w:p>
        </w:tc>
      </w:tr>
    </w:tbl>
    <w:p w14:paraId="22BEEA0B">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参考《呼吸康复操联合振荡呼气正压装置在支气管扩张病人中的应用》明确协助患者取端坐位或仰卧位。</w:t>
      </w:r>
    </w:p>
    <w:p w14:paraId="4DE8CF94">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参考《肺康复成功指南》（第4版）指导患者唇舌紧密包绕呼吸阻力器吹气管端，经鼻缓慢深吸气，屏气2 s～3 s，呼气时以中等力度、均匀速度吹气，维持呼气时间3 s～4 s。</w:t>
      </w:r>
    </w:p>
    <w:p w14:paraId="7D7635A5">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参考《重症患者气道廓清技术专家共识》《European Respiratory Society statement on airway clearance techniques in adults with Bronchiectasis》《中国慢性呼吸道疾病呼吸康复管理指南（2021年）》根据患者病情调节OPEP装置阻力为10 cmH</w:t>
      </w:r>
      <w:r>
        <w:rPr>
          <w:rFonts w:hint="eastAsia" w:ascii="仿宋_GB2312" w:eastAsia="仿宋_GB2312"/>
          <w:b w:val="0"/>
          <w:bCs w:val="0"/>
          <w:color w:val="auto"/>
          <w:sz w:val="28"/>
          <w:szCs w:val="28"/>
          <w:highlight w:val="none"/>
          <w:vertAlign w:val="subscript"/>
          <w:lang w:val="en-US" w:eastAsia="zh-CN"/>
        </w:rPr>
        <w:t>2</w:t>
      </w:r>
      <w:r>
        <w:rPr>
          <w:rFonts w:hint="eastAsia" w:ascii="仿宋_GB2312" w:eastAsia="仿宋_GB2312"/>
          <w:b w:val="0"/>
          <w:bCs w:val="0"/>
          <w:color w:val="auto"/>
          <w:sz w:val="28"/>
          <w:szCs w:val="28"/>
          <w:highlight w:val="none"/>
          <w:lang w:val="en-US" w:eastAsia="zh-CN"/>
        </w:rPr>
        <w:t>O～20 cmH</w:t>
      </w:r>
      <w:r>
        <w:rPr>
          <w:rFonts w:hint="eastAsia" w:ascii="仿宋_GB2312" w:eastAsia="仿宋_GB2312"/>
          <w:b w:val="0"/>
          <w:bCs w:val="0"/>
          <w:color w:val="auto"/>
          <w:sz w:val="28"/>
          <w:szCs w:val="28"/>
          <w:highlight w:val="none"/>
          <w:vertAlign w:val="subscript"/>
          <w:lang w:val="en-US" w:eastAsia="zh-CN"/>
        </w:rPr>
        <w:t>2</w:t>
      </w:r>
      <w:r>
        <w:rPr>
          <w:rFonts w:hint="eastAsia" w:ascii="仿宋_GB2312" w:eastAsia="仿宋_GB2312"/>
          <w:b w:val="0"/>
          <w:bCs w:val="0"/>
          <w:color w:val="auto"/>
          <w:sz w:val="28"/>
          <w:szCs w:val="28"/>
          <w:highlight w:val="none"/>
          <w:lang w:val="en-US" w:eastAsia="zh-CN"/>
        </w:rPr>
        <w:t>O。初次使用从最低阻力档开始。</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2C54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578B47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51E3ADA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6F0126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75A6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18E262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7CB17F32">
            <w:pPr>
              <w:pStyle w:val="12"/>
              <w:keepNext w:val="0"/>
              <w:keepLines w:val="0"/>
              <w:pageBreakBefore w:val="0"/>
              <w:widowControl w:val="0"/>
              <w:numPr>
                <w:ilvl w:val="0"/>
                <w:numId w:val="17"/>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default"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协助患者取端坐位或仰卧位。</w:t>
            </w:r>
          </w:p>
          <w:p w14:paraId="4742A295">
            <w:pPr>
              <w:pStyle w:val="12"/>
              <w:keepNext w:val="0"/>
              <w:keepLines w:val="0"/>
              <w:pageBreakBefore w:val="0"/>
              <w:widowControl w:val="0"/>
              <w:numPr>
                <w:ilvl w:val="0"/>
                <w:numId w:val="17"/>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default"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指导患者唇舌紧密包绕呼吸阻力器吹气管端，经鼻缓慢深吸气，屏气2 s～3 s，呼气时以中等力度、均匀速度吹气，维持呼气时间3 s～4 s。</w:t>
            </w:r>
          </w:p>
          <w:p w14:paraId="5E4D8511">
            <w:pPr>
              <w:pStyle w:val="12"/>
              <w:keepNext w:val="0"/>
              <w:keepLines w:val="0"/>
              <w:pageBreakBefore w:val="0"/>
              <w:widowControl w:val="0"/>
              <w:numPr>
                <w:ilvl w:val="0"/>
                <w:numId w:val="17"/>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default"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观察振动磁片达到稳定高频振荡（10 Hz～25 Hz）。</w:t>
            </w:r>
          </w:p>
          <w:p w14:paraId="696FA976">
            <w:pPr>
              <w:pStyle w:val="12"/>
              <w:keepNext w:val="0"/>
              <w:keepLines w:val="0"/>
              <w:pageBreakBefore w:val="0"/>
              <w:widowControl w:val="0"/>
              <w:numPr>
                <w:ilvl w:val="0"/>
                <w:numId w:val="17"/>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default"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询问患者感受，鼓励患者感觉喉部或气管有明显振动痒感时，应立即进行有效咳嗽。</w:t>
            </w:r>
          </w:p>
          <w:p w14:paraId="230C9E58">
            <w:pPr>
              <w:pStyle w:val="12"/>
              <w:keepNext w:val="0"/>
              <w:keepLines w:val="0"/>
              <w:pageBreakBefore w:val="0"/>
              <w:widowControl w:val="0"/>
              <w:numPr>
                <w:ilvl w:val="0"/>
                <w:numId w:val="17"/>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default"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根据患者病情调节OPEP装置阻力为10 cmH</w:t>
            </w:r>
            <w:r>
              <w:rPr>
                <w:rFonts w:hint="eastAsia" w:ascii="仿宋_GB2312" w:hAnsi="仿宋_GB2312" w:eastAsia="仿宋_GB2312" w:cs="仿宋_GB2312"/>
                <w:color w:val="auto"/>
                <w:highlight w:val="none"/>
                <w:vertAlign w:val="subscript"/>
              </w:rPr>
              <w:t>2</w:t>
            </w:r>
            <w:r>
              <w:rPr>
                <w:rFonts w:hint="eastAsia" w:ascii="仿宋_GB2312" w:hAnsi="仿宋_GB2312" w:eastAsia="仿宋_GB2312" w:cs="仿宋_GB2312"/>
                <w:color w:val="auto"/>
                <w:highlight w:val="none"/>
              </w:rPr>
              <w:t>O～20 cmH</w:t>
            </w:r>
            <w:r>
              <w:rPr>
                <w:rFonts w:hint="eastAsia" w:ascii="仿宋_GB2312" w:hAnsi="仿宋_GB2312" w:eastAsia="仿宋_GB2312" w:cs="仿宋_GB2312"/>
                <w:color w:val="auto"/>
                <w:highlight w:val="none"/>
                <w:vertAlign w:val="subscript"/>
              </w:rPr>
              <w:t>2</w:t>
            </w:r>
            <w:r>
              <w:rPr>
                <w:rFonts w:hint="eastAsia" w:ascii="仿宋_GB2312" w:hAnsi="仿宋_GB2312" w:eastAsia="仿宋_GB2312" w:cs="仿宋_GB2312"/>
                <w:color w:val="auto"/>
                <w:highlight w:val="none"/>
              </w:rPr>
              <w:t>O。</w:t>
            </w:r>
          </w:p>
          <w:p w14:paraId="0EBC6932">
            <w:pPr>
              <w:pStyle w:val="12"/>
              <w:keepNext w:val="0"/>
              <w:keepLines w:val="0"/>
              <w:pageBreakBefore w:val="0"/>
              <w:widowControl w:val="0"/>
              <w:numPr>
                <w:ilvl w:val="0"/>
                <w:numId w:val="17"/>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default"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初次使用从最低阻力档开始。</w:t>
            </w:r>
          </w:p>
          <w:p w14:paraId="55A8050D">
            <w:pPr>
              <w:pStyle w:val="12"/>
              <w:keepNext w:val="0"/>
              <w:keepLines w:val="0"/>
              <w:pageBreakBefore w:val="0"/>
              <w:widowControl w:val="0"/>
              <w:numPr>
                <w:ilvl w:val="0"/>
                <w:numId w:val="17"/>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仿宋_GB2312" w:eastAsia="仿宋_GB2312" w:cs="仿宋_GB2312"/>
                <w:color w:val="auto"/>
                <w:highlight w:val="none"/>
              </w:rPr>
              <w:t>每次6～12组呼吸循环，每次持续时间宜≤20 min，2次/</w:t>
            </w:r>
            <w:r>
              <w:rPr>
                <w:rFonts w:hint="eastAsia" w:ascii="仿宋_GB2312" w:hAnsi="仿宋_GB2312" w:eastAsia="仿宋_GB2312" w:cs="仿宋_GB2312"/>
                <w:color w:val="auto"/>
                <w:highlight w:val="none"/>
                <w:lang w:val="en-US" w:eastAsia="zh-CN"/>
              </w:rPr>
              <w:t>日</w:t>
            </w:r>
            <w:r>
              <w:rPr>
                <w:rFonts w:hint="eastAsia" w:ascii="仿宋_GB2312" w:hAnsi="仿宋_GB2312" w:eastAsia="仿宋_GB2312" w:cs="仿宋_GB2312"/>
                <w:color w:val="auto"/>
                <w:highlight w:val="none"/>
              </w:rPr>
              <w:t>或根据患者痰液蓄积情况增减频率。</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0A8B6D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198</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2.4%</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94.8</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74E3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B0AD7C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19B25AA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953323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222</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1.8%</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95.5</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2F2E7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18B5D9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1445A3C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9081F6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254</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1.6%</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97.2</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0B5A02EC">
      <w:pPr>
        <w:pStyle w:val="29"/>
        <w:numPr>
          <w:ilvl w:val="0"/>
          <w:numId w:val="14"/>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主动循环呼吸排痰</w:t>
      </w:r>
    </w:p>
    <w:p w14:paraId="4C3A1BE5">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结合编制组工作经验明确了适用于咳嗽能力评分3～5分且痰液黏稠度II～IV级的患者。</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3BB9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1CE353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17B5656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适用情况</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88C4C0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患者统计</w:t>
            </w:r>
          </w:p>
        </w:tc>
      </w:tr>
      <w:tr w14:paraId="406E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8258C1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55EC7F1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适用于咳嗽能力评分3～5分且痰液黏稠度II～IV级的患者。</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D43C3E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共有322名患者进行咳嗽训练</w:t>
            </w:r>
          </w:p>
        </w:tc>
      </w:tr>
      <w:tr w14:paraId="59D49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55BE5E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050A3E2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DB6CF9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共有345名患者进行咳嗽训练</w:t>
            </w:r>
          </w:p>
        </w:tc>
      </w:tr>
      <w:tr w14:paraId="60651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85AFB7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7FE41B6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EF4E23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lang w:val="en-US" w:eastAsia="zh-CN"/>
              </w:rPr>
              <w:t>共有367名患者进行咳嗽训练</w:t>
            </w:r>
          </w:p>
        </w:tc>
      </w:tr>
    </w:tbl>
    <w:p w14:paraId="6FE4F26A">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参考《呼吸康复操联合振荡呼气正压装置在支气管扩张病人中的应用》《震荡呼气正压和主动循环呼吸技术治疗慢性气道疾病腺体高分泌的效果及患者偏好研究》明确协助患者取端坐位。</w:t>
      </w:r>
    </w:p>
    <w:p w14:paraId="1A819CC7">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参考《重症患者气道廓清技术专家共识》《气道净化技术护理》明确操作顺序宜以BC-TEE-BC-TEE-BC-FET-BC为1个循环，每次进行3～5个循环，每个循环休息5 ～10 s。</w:t>
      </w:r>
    </w:p>
    <w:p w14:paraId="742DF22D">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参考《震荡呼气正压和主动循环呼吸技术治疗慢性气道疾病腺体高分泌的效果及患者偏好研究》明确了每次持续时间宜为20 min。</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16A4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224F4B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326B12A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6664383">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66C2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A2CD09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2B5081C0">
            <w:pPr>
              <w:pStyle w:val="12"/>
              <w:keepNext w:val="0"/>
              <w:keepLines w:val="0"/>
              <w:pageBreakBefore w:val="0"/>
              <w:widowControl w:val="0"/>
              <w:numPr>
                <w:ilvl w:val="0"/>
                <w:numId w:val="18"/>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宜协助患者取端坐位。</w:t>
            </w:r>
          </w:p>
          <w:p w14:paraId="228CDDDE">
            <w:pPr>
              <w:pStyle w:val="12"/>
              <w:keepNext w:val="0"/>
              <w:keepLines w:val="0"/>
              <w:pageBreakBefore w:val="0"/>
              <w:widowControl w:val="0"/>
              <w:numPr>
                <w:ilvl w:val="0"/>
                <w:numId w:val="18"/>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操作顺序宜以BC-TEE-BC-TEE-BC-FET-BC为1个循环，每次进行3～5个循环，每个循环休息5 ～10 s。</w:t>
            </w:r>
          </w:p>
          <w:p w14:paraId="27C5A699">
            <w:pPr>
              <w:pStyle w:val="12"/>
              <w:keepNext w:val="0"/>
              <w:keepLines w:val="0"/>
              <w:pageBreakBefore w:val="0"/>
              <w:widowControl w:val="0"/>
              <w:numPr>
                <w:ilvl w:val="0"/>
                <w:numId w:val="18"/>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仿宋_GB2312" w:eastAsia="仿宋_GB2312" w:cs="仿宋_GB2312"/>
                <w:color w:val="auto"/>
                <w:highlight w:val="none"/>
              </w:rPr>
              <w:t>每次持续时间宜为20 min，1～2次/日或根据患者痰液</w:t>
            </w:r>
            <w:bookmarkStart w:id="3" w:name="_GoBack"/>
            <w:bookmarkEnd w:id="3"/>
            <w:r>
              <w:rPr>
                <w:rFonts w:hint="eastAsia" w:ascii="仿宋_GB2312" w:hAnsi="仿宋_GB2312" w:eastAsia="仿宋_GB2312" w:cs="仿宋_GB2312"/>
                <w:color w:val="auto"/>
                <w:highlight w:val="none"/>
              </w:rPr>
              <w:t>蓄积情况增减频率。</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533602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322</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2.4%</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96.9</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0AF1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F551B2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321DFD5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0ABF57A">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345</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2.0%</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97.0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r w14:paraId="0DA51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0B6D34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08CA108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1FFF2A4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eastAsia="仿宋_GB2312" w:cs="仿宋"/>
                <w:bCs/>
                <w:color w:val="auto"/>
                <w:sz w:val="21"/>
                <w:szCs w:val="21"/>
                <w:highlight w:val="none"/>
              </w:rPr>
              <w:t>共</w:t>
            </w:r>
            <w:r>
              <w:rPr>
                <w:rFonts w:hint="eastAsia" w:ascii="仿宋_GB2312" w:eastAsia="仿宋_GB2312" w:cs="仿宋"/>
                <w:bCs/>
                <w:color w:val="auto"/>
                <w:sz w:val="21"/>
                <w:szCs w:val="21"/>
                <w:highlight w:val="none"/>
                <w:lang w:eastAsia="zh-CN"/>
              </w:rPr>
              <w:t>进行操作约</w:t>
            </w:r>
            <w:r>
              <w:rPr>
                <w:rFonts w:hint="eastAsia" w:ascii="仿宋_GB2312" w:eastAsia="仿宋_GB2312" w:cs="仿宋"/>
                <w:bCs/>
                <w:color w:val="auto"/>
                <w:sz w:val="21"/>
                <w:szCs w:val="21"/>
                <w:highlight w:val="none"/>
                <w:lang w:val="en-US" w:eastAsia="zh-CN"/>
              </w:rPr>
              <w:t>367</w:t>
            </w:r>
            <w:r>
              <w:rPr>
                <w:rFonts w:hint="eastAsia" w:ascii="仿宋_GB2312" w:eastAsia="仿宋_GB2312" w:cs="仿宋"/>
                <w:bCs/>
                <w:color w:val="auto"/>
                <w:sz w:val="21"/>
                <w:szCs w:val="21"/>
                <w:highlight w:val="none"/>
              </w:rPr>
              <w:t>例患者，其中</w:t>
            </w:r>
            <w:r>
              <w:rPr>
                <w:rFonts w:hint="eastAsia" w:ascii="仿宋_GB2312" w:eastAsia="仿宋_GB2312" w:cs="仿宋"/>
                <w:bCs/>
                <w:color w:val="auto"/>
                <w:sz w:val="21"/>
                <w:szCs w:val="21"/>
                <w:highlight w:val="none"/>
                <w:lang w:eastAsia="zh-CN"/>
              </w:rPr>
              <w:t>并发症</w:t>
            </w:r>
            <w:r>
              <w:rPr>
                <w:rFonts w:hint="eastAsia" w:ascii="仿宋_GB2312" w:eastAsia="仿宋_GB2312" w:cs="仿宋"/>
                <w:bCs/>
                <w:color w:val="auto"/>
                <w:sz w:val="21"/>
                <w:szCs w:val="21"/>
                <w:highlight w:val="none"/>
                <w:lang w:val="en-US" w:eastAsia="zh-CN"/>
              </w:rPr>
              <w:t>/意外</w:t>
            </w:r>
            <w:r>
              <w:rPr>
                <w:rFonts w:hint="eastAsia" w:ascii="仿宋_GB2312" w:eastAsia="仿宋_GB2312" w:cs="仿宋"/>
                <w:bCs/>
                <w:color w:val="auto"/>
                <w:sz w:val="21"/>
                <w:szCs w:val="21"/>
                <w:highlight w:val="none"/>
                <w:lang w:eastAsia="zh-CN"/>
              </w:rPr>
              <w:t>发生率</w:t>
            </w:r>
            <w:r>
              <w:rPr>
                <w:rFonts w:hint="eastAsia" w:ascii="仿宋_GB2312" w:eastAsia="仿宋_GB2312" w:cs="仿宋"/>
                <w:bCs/>
                <w:color w:val="auto"/>
                <w:sz w:val="21"/>
                <w:szCs w:val="21"/>
                <w:highlight w:val="none"/>
                <w:lang w:val="en-US" w:eastAsia="zh-CN"/>
              </w:rPr>
              <w:t>1.9%</w:t>
            </w:r>
            <w:r>
              <w:rPr>
                <w:rFonts w:hint="eastAsia" w:ascii="仿宋_GB2312" w:eastAsia="仿宋_GB2312" w:cs="仿宋"/>
                <w:bCs/>
                <w:color w:val="auto"/>
                <w:sz w:val="21"/>
                <w:szCs w:val="21"/>
                <w:highlight w:val="none"/>
                <w:lang w:eastAsia="zh-CN"/>
              </w:rPr>
              <w:t>，</w:t>
            </w:r>
            <w:r>
              <w:rPr>
                <w:rFonts w:hint="eastAsia" w:ascii="仿宋_GB2312" w:eastAsia="仿宋_GB2312" w:cs="仿宋"/>
                <w:bCs/>
                <w:color w:val="auto"/>
                <w:sz w:val="21"/>
                <w:szCs w:val="21"/>
                <w:highlight w:val="none"/>
              </w:rPr>
              <w:t>有效率</w:t>
            </w:r>
            <w:r>
              <w:rPr>
                <w:rFonts w:hint="eastAsia" w:ascii="仿宋_GB2312" w:eastAsia="仿宋_GB2312" w:cs="仿宋"/>
                <w:bCs/>
                <w:color w:val="auto"/>
                <w:sz w:val="21"/>
                <w:szCs w:val="21"/>
                <w:highlight w:val="none"/>
                <w:lang w:val="en-US" w:eastAsia="zh-CN"/>
              </w:rPr>
              <w:t>98.0</w:t>
            </w:r>
            <w:r>
              <w:rPr>
                <w:rFonts w:hint="eastAsia" w:ascii="仿宋_GB2312" w:eastAsia="仿宋_GB2312" w:cs="仿宋"/>
                <w:bCs/>
                <w:color w:val="auto"/>
                <w:sz w:val="21"/>
                <w:szCs w:val="21"/>
                <w:highlight w:val="none"/>
                <w:lang w:val="en-US"/>
              </w:rPr>
              <w:t>%</w:t>
            </w:r>
            <w:r>
              <w:rPr>
                <w:rFonts w:hint="eastAsia" w:ascii="仿宋_GB2312" w:eastAsia="仿宋_GB2312" w:cs="仿宋"/>
                <w:bCs/>
                <w:color w:val="auto"/>
                <w:sz w:val="21"/>
                <w:szCs w:val="21"/>
                <w:highlight w:val="none"/>
              </w:rPr>
              <w:t>。</w:t>
            </w:r>
          </w:p>
        </w:tc>
      </w:tr>
    </w:tbl>
    <w:p w14:paraId="6B8571A6">
      <w:pPr>
        <w:pStyle w:val="29"/>
        <w:numPr>
          <w:ilvl w:val="0"/>
          <w:numId w:val="14"/>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肺内叩击通气</w:t>
      </w:r>
    </w:p>
    <w:p w14:paraId="38B928F3">
      <w:pPr>
        <w:pStyle w:val="29"/>
        <w:spacing w:line="520" w:lineRule="exact"/>
        <w:ind w:left="0" w:leftChars="0" w:firstLine="560" w:firstLineChars="200"/>
        <w:rPr>
          <w:rFonts w:hint="eastAsia" w:ascii="仿宋_GB2312" w:eastAsia="仿宋_GB2312"/>
          <w:b w:val="0"/>
          <w:bCs w:val="0"/>
          <w:color w:val="auto"/>
          <w:sz w:val="28"/>
          <w:szCs w:val="28"/>
          <w:highlight w:val="none"/>
          <w:lang w:val="en-US" w:eastAsia="zh-CN"/>
        </w:rPr>
      </w:pPr>
      <w:r>
        <w:rPr>
          <w:rFonts w:hint="eastAsia" w:ascii="仿宋_GB2312" w:eastAsia="仿宋_GB2312"/>
          <w:b w:val="0"/>
          <w:bCs w:val="0"/>
          <w:color w:val="auto"/>
          <w:sz w:val="28"/>
          <w:szCs w:val="28"/>
          <w:highlight w:val="none"/>
          <w:lang w:val="en-US" w:eastAsia="zh-CN"/>
        </w:rPr>
        <w:t>结合编制组工作经验明确了适用于咳嗽能力评分2～5分且痰液黏稠度II～IV级的患者。</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39B2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3527A74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4788C36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适用情况</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2C64BB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患者统计</w:t>
            </w:r>
          </w:p>
        </w:tc>
      </w:tr>
      <w:tr w14:paraId="676F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50CA15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05BD9DA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适用于咳嗽能力评分2～5分且痰液黏稠度II～IV级的患者。</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A465A1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共有</w:t>
            </w:r>
            <w:r>
              <w:rPr>
                <w:rFonts w:hint="eastAsia" w:ascii="仿宋_GB2312" w:eastAsia="仿宋_GB2312" w:cs="仿宋"/>
                <w:bCs/>
                <w:color w:val="auto"/>
                <w:kern w:val="2"/>
                <w:sz w:val="21"/>
                <w:szCs w:val="21"/>
                <w:highlight w:val="none"/>
                <w:lang w:val="en-US" w:eastAsia="zh-CN" w:bidi="ar-SA"/>
              </w:rPr>
              <w:t>198</w:t>
            </w:r>
            <w:r>
              <w:rPr>
                <w:rFonts w:hint="eastAsia" w:ascii="仿宋_GB2312" w:hAnsi="Calibri" w:eastAsia="仿宋_GB2312" w:cs="仿宋"/>
                <w:bCs/>
                <w:color w:val="auto"/>
                <w:kern w:val="2"/>
                <w:sz w:val="21"/>
                <w:szCs w:val="21"/>
                <w:highlight w:val="none"/>
                <w:lang w:val="en-US" w:eastAsia="zh-CN" w:bidi="ar-SA"/>
              </w:rPr>
              <w:t>名患者进行咳嗽训练</w:t>
            </w:r>
          </w:p>
        </w:tc>
      </w:tr>
      <w:tr w14:paraId="706B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252F42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5BC9A82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F10928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共有</w:t>
            </w:r>
            <w:r>
              <w:rPr>
                <w:rFonts w:hint="eastAsia" w:ascii="仿宋_GB2312" w:eastAsia="仿宋_GB2312" w:cs="仿宋"/>
                <w:bCs/>
                <w:color w:val="auto"/>
                <w:kern w:val="2"/>
                <w:sz w:val="21"/>
                <w:szCs w:val="21"/>
                <w:highlight w:val="none"/>
                <w:lang w:val="en-US" w:eastAsia="zh-CN" w:bidi="ar-SA"/>
              </w:rPr>
              <w:t>270</w:t>
            </w:r>
            <w:r>
              <w:rPr>
                <w:rFonts w:hint="eastAsia" w:ascii="仿宋_GB2312" w:hAnsi="Calibri" w:eastAsia="仿宋_GB2312" w:cs="仿宋"/>
                <w:bCs/>
                <w:color w:val="auto"/>
                <w:kern w:val="2"/>
                <w:sz w:val="21"/>
                <w:szCs w:val="21"/>
                <w:highlight w:val="none"/>
                <w:lang w:val="en-US" w:eastAsia="zh-CN" w:bidi="ar-SA"/>
              </w:rPr>
              <w:t>名患者进行咳嗽训练</w:t>
            </w:r>
          </w:p>
        </w:tc>
      </w:tr>
      <w:tr w14:paraId="4C6DB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201C0DF">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3DC225C0">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2EDACB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共有</w:t>
            </w:r>
            <w:r>
              <w:rPr>
                <w:rFonts w:hint="eastAsia" w:ascii="仿宋_GB2312" w:eastAsia="仿宋_GB2312" w:cs="仿宋"/>
                <w:bCs/>
                <w:color w:val="auto"/>
                <w:kern w:val="2"/>
                <w:sz w:val="21"/>
                <w:szCs w:val="21"/>
                <w:highlight w:val="none"/>
                <w:lang w:val="en-US" w:eastAsia="zh-CN" w:bidi="ar-SA"/>
              </w:rPr>
              <w:t>289</w:t>
            </w:r>
            <w:r>
              <w:rPr>
                <w:rFonts w:hint="eastAsia" w:ascii="仿宋_GB2312" w:hAnsi="Calibri" w:eastAsia="仿宋_GB2312" w:cs="仿宋"/>
                <w:bCs/>
                <w:color w:val="auto"/>
                <w:kern w:val="2"/>
                <w:sz w:val="21"/>
                <w:szCs w:val="21"/>
                <w:highlight w:val="none"/>
                <w:lang w:val="en-US" w:eastAsia="zh-CN" w:bidi="ar-SA"/>
              </w:rPr>
              <w:t>名患者进行咳嗽训练</w:t>
            </w:r>
          </w:p>
        </w:tc>
      </w:tr>
    </w:tbl>
    <w:p w14:paraId="5848FAE9">
      <w:pPr>
        <w:pStyle w:val="29"/>
        <w:spacing w:line="520" w:lineRule="exact"/>
        <w:ind w:left="0" w:leftChars="0" w:firstLine="560" w:firstLineChars="200"/>
        <w:rPr>
          <w:rFonts w:hint="eastAsia" w:ascii="仿宋_GB2312" w:eastAsia="仿宋_GB2312"/>
          <w:b w:val="0"/>
          <w:bCs w:val="0"/>
          <w:sz w:val="28"/>
          <w:szCs w:val="28"/>
          <w:highlight w:val="none"/>
          <w:lang w:val="en-US" w:eastAsia="zh-CN"/>
        </w:rPr>
      </w:pPr>
      <w:r>
        <w:rPr>
          <w:rFonts w:hint="eastAsia" w:ascii="仿宋_GB2312" w:eastAsia="仿宋_GB2312"/>
          <w:b w:val="0"/>
          <w:bCs w:val="0"/>
          <w:color w:val="auto"/>
          <w:sz w:val="28"/>
          <w:szCs w:val="28"/>
          <w:highlight w:val="none"/>
          <w:lang w:val="en-US" w:eastAsia="zh-CN"/>
        </w:rPr>
        <w:t>首先明确患者需取端坐位或半卧位，以保障呼吸道通畅并优化通气效果。操作流程中重点强调了面罩或咬嘴的正确佩戴方法，要求面罩必须与面部紧密贴合，或使用唇部严密包绕咬嘴，这是防止漏气、确保治疗压力达标的的关键环节。治疗参数的设定遵循个体化原则，治疗压力范围规定为10 cmH</w:t>
      </w:r>
      <w:r>
        <w:rPr>
          <w:rFonts w:hint="eastAsia" w:ascii="仿宋_GB2312" w:eastAsia="仿宋_GB2312"/>
          <w:b w:val="0"/>
          <w:bCs w:val="0"/>
          <w:color w:val="auto"/>
          <w:sz w:val="28"/>
          <w:szCs w:val="28"/>
          <w:highlight w:val="none"/>
          <w:vertAlign w:val="subscript"/>
          <w:lang w:val="en-US" w:eastAsia="zh-CN"/>
        </w:rPr>
        <w:t>2</w:t>
      </w:r>
      <w:r>
        <w:rPr>
          <w:rFonts w:hint="eastAsia" w:ascii="仿宋_GB2312" w:eastAsia="仿宋_GB2312"/>
          <w:b w:val="0"/>
          <w:bCs w:val="0"/>
          <w:color w:val="auto"/>
          <w:sz w:val="28"/>
          <w:szCs w:val="28"/>
          <w:highlight w:val="none"/>
          <w:lang w:val="en-US" w:eastAsia="zh-CN"/>
        </w:rPr>
        <w:t>O至30 cmH</w:t>
      </w:r>
      <w:r>
        <w:rPr>
          <w:rFonts w:hint="eastAsia" w:ascii="仿宋_GB2312" w:eastAsia="仿宋_GB2312"/>
          <w:b w:val="0"/>
          <w:bCs w:val="0"/>
          <w:color w:val="auto"/>
          <w:sz w:val="28"/>
          <w:szCs w:val="28"/>
          <w:highlight w:val="none"/>
          <w:vertAlign w:val="subscript"/>
          <w:lang w:val="en-US" w:eastAsia="zh-CN"/>
        </w:rPr>
        <w:t>2</w:t>
      </w:r>
      <w:r>
        <w:rPr>
          <w:rFonts w:hint="eastAsia" w:ascii="仿宋_GB2312" w:eastAsia="仿宋_GB2312"/>
          <w:b w:val="0"/>
          <w:bCs w:val="0"/>
          <w:color w:val="auto"/>
          <w:sz w:val="28"/>
          <w:szCs w:val="28"/>
          <w:highlight w:val="none"/>
          <w:lang w:val="en-US" w:eastAsia="zh-CN"/>
        </w:rPr>
        <w:t>O，治疗频率建议为200次/分钟至300次/分钟，该设置基于常规临床实践，旨在平衡治疗效果与患者舒适度。每次治疗持续时间建议为10至20分钟，频率为每日1</w:t>
      </w:r>
      <w:r>
        <w:rPr>
          <w:rFonts w:hint="eastAsia" w:ascii="仿宋_GB2312" w:eastAsia="仿宋_GB2312"/>
          <w:b w:val="0"/>
          <w:bCs w:val="0"/>
          <w:sz w:val="28"/>
          <w:szCs w:val="28"/>
          <w:highlight w:val="none"/>
          <w:lang w:val="en-US" w:eastAsia="zh-CN"/>
        </w:rPr>
        <w:t>至2次，同时明确指出需根据患者痰液蓄积的实际情况进行灵活调整，在保证原则性的同时，也兼具必要的临床灵活性，以适应不同患者的动态治疗需求。</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19EE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D9D140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1A514DC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235EAA7">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353E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6FEE48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5E5B9233">
            <w:pPr>
              <w:pStyle w:val="12"/>
              <w:keepNext w:val="0"/>
              <w:keepLines w:val="0"/>
              <w:pageBreakBefore w:val="0"/>
              <w:widowControl w:val="0"/>
              <w:numPr>
                <w:ilvl w:val="0"/>
                <w:numId w:val="19"/>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highlight w:val="none"/>
              </w:rPr>
            </w:pPr>
            <w:r>
              <w:rPr>
                <w:rFonts w:hint="eastAsia" w:ascii="仿宋_GB2312" w:hAnsi="仿宋_GB2312" w:eastAsia="仿宋_GB2312" w:cs="仿宋_GB2312"/>
                <w:highlight w:val="none"/>
              </w:rPr>
              <w:t>协助患者取端坐位或半卧位。</w:t>
            </w:r>
          </w:p>
          <w:p w14:paraId="4687C1A8">
            <w:pPr>
              <w:pStyle w:val="12"/>
              <w:keepNext w:val="0"/>
              <w:keepLines w:val="0"/>
              <w:pageBreakBefore w:val="0"/>
              <w:widowControl w:val="0"/>
              <w:numPr>
                <w:ilvl w:val="0"/>
                <w:numId w:val="19"/>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highlight w:val="none"/>
              </w:rPr>
            </w:pPr>
            <w:r>
              <w:rPr>
                <w:rFonts w:hint="eastAsia" w:ascii="仿宋_GB2312" w:hAnsi="仿宋_GB2312" w:eastAsia="仿宋_GB2312" w:cs="仿宋_GB2312"/>
                <w:highlight w:val="none"/>
              </w:rPr>
              <w:t>将面罩置于患者面部，保证面罩与面部紧密贴合；或将咬嘴置于患者口腔中并使用唇部包绕咬嘴。</w:t>
            </w:r>
          </w:p>
          <w:p w14:paraId="1C1C7E4C">
            <w:pPr>
              <w:pStyle w:val="12"/>
              <w:keepNext w:val="0"/>
              <w:keepLines w:val="0"/>
              <w:pageBreakBefore w:val="0"/>
              <w:widowControl w:val="0"/>
              <w:numPr>
                <w:ilvl w:val="0"/>
                <w:numId w:val="19"/>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highlight w:val="none"/>
              </w:rPr>
            </w:pPr>
            <w:r>
              <w:rPr>
                <w:rFonts w:hint="eastAsia" w:ascii="仿宋_GB2312" w:hAnsi="仿宋_GB2312" w:eastAsia="仿宋_GB2312" w:cs="仿宋_GB2312"/>
                <w:highlight w:val="none"/>
              </w:rPr>
              <w:t>根据患者病情调节治疗压力为10 cmH</w:t>
            </w:r>
            <w:r>
              <w:rPr>
                <w:rFonts w:hint="eastAsia" w:ascii="仿宋_GB2312" w:hAnsi="仿宋_GB2312" w:eastAsia="仿宋_GB2312" w:cs="仿宋_GB2312"/>
                <w:highlight w:val="none"/>
                <w:vertAlign w:val="subscript"/>
              </w:rPr>
              <w:t>2</w:t>
            </w:r>
            <w:r>
              <w:rPr>
                <w:rFonts w:hint="eastAsia" w:ascii="仿宋_GB2312" w:hAnsi="仿宋_GB2312" w:eastAsia="仿宋_GB2312" w:cs="仿宋_GB2312"/>
                <w:highlight w:val="none"/>
              </w:rPr>
              <w:t>O～30 cmH</w:t>
            </w:r>
            <w:r>
              <w:rPr>
                <w:rFonts w:hint="eastAsia" w:ascii="仿宋_GB2312" w:hAnsi="仿宋_GB2312" w:eastAsia="仿宋_GB2312" w:cs="仿宋_GB2312"/>
                <w:highlight w:val="none"/>
                <w:vertAlign w:val="subscript"/>
              </w:rPr>
              <w:t>2</w:t>
            </w:r>
            <w:r>
              <w:rPr>
                <w:rFonts w:hint="eastAsia" w:ascii="仿宋_GB2312" w:hAnsi="仿宋_GB2312" w:eastAsia="仿宋_GB2312" w:cs="仿宋_GB2312"/>
                <w:highlight w:val="none"/>
              </w:rPr>
              <w:t>O，宜使用200次/min～300次/min的治疗频率。</w:t>
            </w:r>
          </w:p>
          <w:p w14:paraId="3E18CE67">
            <w:pPr>
              <w:pStyle w:val="12"/>
              <w:keepNext w:val="0"/>
              <w:keepLines w:val="0"/>
              <w:pageBreakBefore w:val="0"/>
              <w:widowControl w:val="0"/>
              <w:numPr>
                <w:ilvl w:val="0"/>
                <w:numId w:val="19"/>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仿宋_GB2312" w:eastAsia="仿宋_GB2312" w:cs="仿宋_GB2312"/>
                <w:highlight w:val="none"/>
              </w:rPr>
              <w:t>每次持续时间宜为10 min～20 min，1～2次/日或根据患者痰液蓄积情况增减频率。</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ADC716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共进行操作约</w:t>
            </w:r>
            <w:r>
              <w:rPr>
                <w:rFonts w:hint="eastAsia" w:ascii="仿宋_GB2312" w:eastAsia="仿宋_GB2312" w:cs="仿宋"/>
                <w:bCs/>
                <w:color w:val="auto"/>
                <w:kern w:val="2"/>
                <w:sz w:val="21"/>
                <w:szCs w:val="21"/>
                <w:highlight w:val="none"/>
                <w:lang w:val="en-US" w:eastAsia="zh-CN" w:bidi="ar-SA"/>
              </w:rPr>
              <w:t>198</w:t>
            </w:r>
            <w:r>
              <w:rPr>
                <w:rFonts w:hint="eastAsia" w:ascii="仿宋_GB2312" w:hAnsi="Calibri" w:eastAsia="仿宋_GB2312" w:cs="仿宋"/>
                <w:bCs/>
                <w:color w:val="auto"/>
                <w:kern w:val="2"/>
                <w:sz w:val="21"/>
                <w:szCs w:val="21"/>
                <w:highlight w:val="none"/>
                <w:lang w:val="en-US" w:eastAsia="zh-CN" w:bidi="ar-SA"/>
              </w:rPr>
              <w:t>例患者，其中并发症/意外发生率</w:t>
            </w:r>
            <w:r>
              <w:rPr>
                <w:rFonts w:hint="eastAsia" w:ascii="仿宋_GB2312" w:eastAsia="仿宋_GB2312" w:cs="仿宋"/>
                <w:bCs/>
                <w:color w:val="auto"/>
                <w:kern w:val="2"/>
                <w:sz w:val="21"/>
                <w:szCs w:val="21"/>
                <w:highlight w:val="none"/>
                <w:lang w:val="en-US" w:eastAsia="zh-CN" w:bidi="ar-SA"/>
              </w:rPr>
              <w:t>3.5%</w:t>
            </w:r>
            <w:r>
              <w:rPr>
                <w:rFonts w:hint="eastAsia" w:ascii="仿宋_GB2312" w:hAnsi="Calibri" w:eastAsia="仿宋_GB2312" w:cs="仿宋"/>
                <w:bCs/>
                <w:color w:val="auto"/>
                <w:kern w:val="2"/>
                <w:sz w:val="21"/>
                <w:szCs w:val="21"/>
                <w:highlight w:val="none"/>
                <w:lang w:val="en-US" w:eastAsia="zh-CN" w:bidi="ar-SA"/>
              </w:rPr>
              <w:t>，有效率</w:t>
            </w:r>
            <w:r>
              <w:rPr>
                <w:rFonts w:hint="eastAsia" w:ascii="仿宋_GB2312" w:eastAsia="仿宋_GB2312" w:cs="仿宋"/>
                <w:bCs/>
                <w:color w:val="auto"/>
                <w:kern w:val="2"/>
                <w:sz w:val="21"/>
                <w:szCs w:val="21"/>
                <w:highlight w:val="none"/>
                <w:lang w:val="en-US" w:eastAsia="zh-CN" w:bidi="ar-SA"/>
              </w:rPr>
              <w:t>96.7</w:t>
            </w:r>
            <w:r>
              <w:rPr>
                <w:rFonts w:hint="eastAsia" w:ascii="仿宋_GB2312" w:hAnsi="Calibri" w:eastAsia="仿宋_GB2312" w:cs="仿宋"/>
                <w:bCs/>
                <w:color w:val="auto"/>
                <w:kern w:val="2"/>
                <w:sz w:val="21"/>
                <w:szCs w:val="21"/>
                <w:highlight w:val="none"/>
                <w:lang w:val="en-US" w:eastAsia="zh-CN" w:bidi="ar-SA"/>
              </w:rPr>
              <w:t>%。</w:t>
            </w:r>
          </w:p>
        </w:tc>
      </w:tr>
      <w:tr w14:paraId="2AFAF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B08926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78A8FCF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A2CE934">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共进行操作约</w:t>
            </w:r>
            <w:r>
              <w:rPr>
                <w:rFonts w:hint="eastAsia" w:ascii="仿宋_GB2312" w:eastAsia="仿宋_GB2312" w:cs="仿宋"/>
                <w:bCs/>
                <w:color w:val="auto"/>
                <w:kern w:val="2"/>
                <w:sz w:val="21"/>
                <w:szCs w:val="21"/>
                <w:highlight w:val="none"/>
                <w:lang w:val="en-US" w:eastAsia="zh-CN" w:bidi="ar-SA"/>
              </w:rPr>
              <w:t>270</w:t>
            </w:r>
            <w:r>
              <w:rPr>
                <w:rFonts w:hint="eastAsia" w:ascii="仿宋_GB2312" w:hAnsi="Calibri" w:eastAsia="仿宋_GB2312" w:cs="仿宋"/>
                <w:bCs/>
                <w:color w:val="auto"/>
                <w:kern w:val="2"/>
                <w:sz w:val="21"/>
                <w:szCs w:val="21"/>
                <w:highlight w:val="none"/>
                <w:lang w:val="en-US" w:eastAsia="zh-CN" w:bidi="ar-SA"/>
              </w:rPr>
              <w:t>例患者，其中并发症/意外发生率</w:t>
            </w:r>
            <w:r>
              <w:rPr>
                <w:rFonts w:hint="eastAsia" w:ascii="仿宋_GB2312" w:eastAsia="仿宋_GB2312" w:cs="仿宋"/>
                <w:bCs/>
                <w:color w:val="auto"/>
                <w:kern w:val="2"/>
                <w:sz w:val="21"/>
                <w:szCs w:val="21"/>
                <w:highlight w:val="none"/>
                <w:lang w:val="en-US" w:eastAsia="zh-CN" w:bidi="ar-SA"/>
              </w:rPr>
              <w:t>2.9</w:t>
            </w:r>
            <w:r>
              <w:rPr>
                <w:rFonts w:hint="eastAsia" w:ascii="仿宋_GB2312" w:hAnsi="Calibri" w:eastAsia="仿宋_GB2312" w:cs="仿宋"/>
                <w:bCs/>
                <w:color w:val="auto"/>
                <w:kern w:val="2"/>
                <w:sz w:val="21"/>
                <w:szCs w:val="21"/>
                <w:highlight w:val="none"/>
                <w:lang w:val="en-US" w:eastAsia="zh-CN" w:bidi="ar-SA"/>
              </w:rPr>
              <w:t>%，有效率</w:t>
            </w:r>
            <w:r>
              <w:rPr>
                <w:rFonts w:hint="eastAsia" w:ascii="仿宋_GB2312" w:eastAsia="仿宋_GB2312" w:cs="仿宋"/>
                <w:bCs/>
                <w:color w:val="auto"/>
                <w:kern w:val="2"/>
                <w:sz w:val="21"/>
                <w:szCs w:val="21"/>
                <w:highlight w:val="none"/>
                <w:lang w:val="en-US" w:eastAsia="zh-CN" w:bidi="ar-SA"/>
              </w:rPr>
              <w:t>95.4</w:t>
            </w:r>
            <w:r>
              <w:rPr>
                <w:rFonts w:hint="eastAsia" w:ascii="仿宋_GB2312" w:hAnsi="Calibri" w:eastAsia="仿宋_GB2312" w:cs="仿宋"/>
                <w:bCs/>
                <w:color w:val="auto"/>
                <w:kern w:val="2"/>
                <w:sz w:val="21"/>
                <w:szCs w:val="21"/>
                <w:highlight w:val="none"/>
                <w:lang w:val="en-US" w:eastAsia="zh-CN" w:bidi="ar-SA"/>
              </w:rPr>
              <w:t>%。</w:t>
            </w:r>
          </w:p>
        </w:tc>
      </w:tr>
      <w:tr w14:paraId="57B6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649C90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5544CCC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0FA03D5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共进行操作约</w:t>
            </w:r>
            <w:r>
              <w:rPr>
                <w:rFonts w:hint="eastAsia" w:ascii="仿宋_GB2312" w:eastAsia="仿宋_GB2312" w:cs="仿宋"/>
                <w:bCs/>
                <w:color w:val="auto"/>
                <w:kern w:val="2"/>
                <w:sz w:val="21"/>
                <w:szCs w:val="21"/>
                <w:highlight w:val="none"/>
                <w:lang w:val="en-US" w:eastAsia="zh-CN" w:bidi="ar-SA"/>
              </w:rPr>
              <w:t>298</w:t>
            </w:r>
            <w:r>
              <w:rPr>
                <w:rFonts w:hint="eastAsia" w:ascii="仿宋_GB2312" w:hAnsi="Calibri" w:eastAsia="仿宋_GB2312" w:cs="仿宋"/>
                <w:bCs/>
                <w:color w:val="auto"/>
                <w:kern w:val="2"/>
                <w:sz w:val="21"/>
                <w:szCs w:val="21"/>
                <w:highlight w:val="none"/>
                <w:lang w:val="en-US" w:eastAsia="zh-CN" w:bidi="ar-SA"/>
              </w:rPr>
              <w:t>例患者，其中并发症/意外发生率</w:t>
            </w:r>
            <w:r>
              <w:rPr>
                <w:rFonts w:hint="eastAsia" w:ascii="仿宋_GB2312" w:eastAsia="仿宋_GB2312" w:cs="仿宋"/>
                <w:bCs/>
                <w:color w:val="auto"/>
                <w:kern w:val="2"/>
                <w:sz w:val="21"/>
                <w:szCs w:val="21"/>
                <w:highlight w:val="none"/>
                <w:lang w:val="en-US" w:eastAsia="zh-CN" w:bidi="ar-SA"/>
              </w:rPr>
              <w:t>2.6</w:t>
            </w:r>
            <w:r>
              <w:rPr>
                <w:rFonts w:hint="eastAsia" w:ascii="仿宋_GB2312" w:hAnsi="Calibri" w:eastAsia="仿宋_GB2312" w:cs="仿宋"/>
                <w:bCs/>
                <w:color w:val="auto"/>
                <w:kern w:val="2"/>
                <w:sz w:val="21"/>
                <w:szCs w:val="21"/>
                <w:highlight w:val="none"/>
                <w:lang w:val="en-US" w:eastAsia="zh-CN" w:bidi="ar-SA"/>
              </w:rPr>
              <w:t>%，有效率</w:t>
            </w:r>
            <w:r>
              <w:rPr>
                <w:rFonts w:hint="eastAsia" w:ascii="仿宋_GB2312" w:eastAsia="仿宋_GB2312" w:cs="仿宋"/>
                <w:bCs/>
                <w:color w:val="auto"/>
                <w:kern w:val="2"/>
                <w:sz w:val="21"/>
                <w:szCs w:val="21"/>
                <w:highlight w:val="none"/>
                <w:lang w:val="en-US" w:eastAsia="zh-CN" w:bidi="ar-SA"/>
              </w:rPr>
              <w:t>97.0</w:t>
            </w:r>
            <w:r>
              <w:rPr>
                <w:rFonts w:hint="eastAsia" w:ascii="仿宋_GB2312" w:hAnsi="Calibri" w:eastAsia="仿宋_GB2312" w:cs="仿宋"/>
                <w:bCs/>
                <w:color w:val="auto"/>
                <w:kern w:val="2"/>
                <w:sz w:val="21"/>
                <w:szCs w:val="21"/>
                <w:highlight w:val="none"/>
                <w:lang w:val="en-US" w:eastAsia="zh-CN" w:bidi="ar-SA"/>
              </w:rPr>
              <w:t>%。</w:t>
            </w:r>
          </w:p>
        </w:tc>
      </w:tr>
    </w:tbl>
    <w:p w14:paraId="35EAC699">
      <w:pPr>
        <w:pStyle w:val="29"/>
        <w:numPr>
          <w:ilvl w:val="0"/>
          <w:numId w:val="14"/>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负压吸痰</w:t>
      </w:r>
    </w:p>
    <w:p w14:paraId="603218F2">
      <w:pPr>
        <w:pStyle w:val="29"/>
        <w:spacing w:line="520" w:lineRule="exact"/>
        <w:ind w:left="0" w:leftChars="0" w:firstLine="560" w:firstLineChars="200"/>
        <w:rPr>
          <w:rFonts w:hint="eastAsia" w:ascii="仿宋_GB2312" w:eastAsia="仿宋_GB2312"/>
          <w:b w:val="0"/>
          <w:bCs w:val="0"/>
          <w:sz w:val="28"/>
          <w:szCs w:val="28"/>
          <w:highlight w:val="none"/>
          <w:lang w:val="en-US" w:eastAsia="zh-CN"/>
        </w:rPr>
      </w:pPr>
      <w:r>
        <w:rPr>
          <w:rFonts w:hint="eastAsia" w:ascii="仿宋_GB2312" w:eastAsia="仿宋_GB2312"/>
          <w:b w:val="0"/>
          <w:bCs w:val="0"/>
          <w:sz w:val="28"/>
          <w:szCs w:val="28"/>
          <w:highlight w:val="none"/>
          <w:lang w:val="en-US" w:eastAsia="zh-CN"/>
        </w:rPr>
        <w:t>结合编制组工作经验明确了适用于痰液黏稠度III～IV级或昏迷的患者。</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2BB8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3D7795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33A2E1A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适用情况</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702C01B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eastAsia="zh-CN"/>
              </w:rPr>
            </w:pPr>
            <w:r>
              <w:rPr>
                <w:rFonts w:hint="eastAsia" w:ascii="仿宋_GB2312" w:eastAsia="仿宋_GB2312" w:cs="仿宋"/>
                <w:bCs/>
                <w:color w:val="auto"/>
                <w:sz w:val="21"/>
                <w:szCs w:val="21"/>
                <w:highlight w:val="none"/>
                <w:lang w:val="en-US" w:eastAsia="zh-CN"/>
              </w:rPr>
              <w:t>患者统计</w:t>
            </w:r>
          </w:p>
        </w:tc>
      </w:tr>
      <w:tr w14:paraId="297CD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5B5D43B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552F615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left"/>
              <w:textAlignment w:val="auto"/>
              <w:rPr>
                <w:rFonts w:hint="eastAsia" w:ascii="仿宋_GB2312" w:hAnsi="Times New Roman" w:eastAsia="仿宋_GB2312" w:cs="仿宋"/>
                <w:bCs/>
                <w:color w:val="auto"/>
                <w:kern w:val="0"/>
                <w:sz w:val="21"/>
                <w:szCs w:val="21"/>
                <w:highlight w:val="none"/>
                <w:lang w:val="en-US" w:eastAsia="zh-CN" w:bidi="ar"/>
              </w:rPr>
            </w:pPr>
            <w:r>
              <w:rPr>
                <w:rFonts w:hint="eastAsia" w:ascii="仿宋_GB2312" w:hAnsi="Times New Roman" w:eastAsia="仿宋_GB2312" w:cs="仿宋"/>
                <w:bCs/>
                <w:color w:val="auto"/>
                <w:kern w:val="0"/>
                <w:sz w:val="21"/>
                <w:szCs w:val="21"/>
                <w:highlight w:val="none"/>
                <w:lang w:val="en-US" w:eastAsia="zh-CN" w:bidi="ar"/>
              </w:rPr>
              <w:t>适用于痰液黏稠度III～IV级或昏迷的患者。</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A21ACF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共有</w:t>
            </w:r>
            <w:r>
              <w:rPr>
                <w:rFonts w:hint="eastAsia" w:ascii="仿宋_GB2312" w:eastAsia="仿宋_GB2312" w:cs="仿宋"/>
                <w:bCs/>
                <w:color w:val="auto"/>
                <w:kern w:val="2"/>
                <w:sz w:val="21"/>
                <w:szCs w:val="21"/>
                <w:highlight w:val="none"/>
                <w:lang w:val="en-US" w:eastAsia="zh-CN" w:bidi="ar-SA"/>
              </w:rPr>
              <w:t>305</w:t>
            </w:r>
            <w:r>
              <w:rPr>
                <w:rFonts w:hint="eastAsia" w:ascii="仿宋_GB2312" w:hAnsi="Calibri" w:eastAsia="仿宋_GB2312" w:cs="仿宋"/>
                <w:bCs/>
                <w:color w:val="auto"/>
                <w:kern w:val="2"/>
                <w:sz w:val="21"/>
                <w:szCs w:val="21"/>
                <w:highlight w:val="none"/>
                <w:lang w:val="en-US" w:eastAsia="zh-CN" w:bidi="ar-SA"/>
              </w:rPr>
              <w:t>名患者进行咳嗽训练</w:t>
            </w:r>
          </w:p>
        </w:tc>
      </w:tr>
      <w:tr w14:paraId="1B3E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121CCBA5">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4F8607C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4971B4A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共有</w:t>
            </w:r>
            <w:r>
              <w:rPr>
                <w:rFonts w:hint="eastAsia" w:ascii="仿宋_GB2312" w:eastAsia="仿宋_GB2312" w:cs="仿宋"/>
                <w:bCs/>
                <w:color w:val="auto"/>
                <w:kern w:val="2"/>
                <w:sz w:val="21"/>
                <w:szCs w:val="21"/>
                <w:highlight w:val="none"/>
                <w:lang w:val="en-US" w:eastAsia="zh-CN" w:bidi="ar-SA"/>
              </w:rPr>
              <w:t>340</w:t>
            </w:r>
            <w:r>
              <w:rPr>
                <w:rFonts w:hint="eastAsia" w:ascii="仿宋_GB2312" w:hAnsi="Calibri" w:eastAsia="仿宋_GB2312" w:cs="仿宋"/>
                <w:bCs/>
                <w:color w:val="auto"/>
                <w:kern w:val="2"/>
                <w:sz w:val="21"/>
                <w:szCs w:val="21"/>
                <w:highlight w:val="none"/>
                <w:lang w:val="en-US" w:eastAsia="zh-CN" w:bidi="ar-SA"/>
              </w:rPr>
              <w:t>名患者进行咳嗽训练</w:t>
            </w:r>
          </w:p>
        </w:tc>
      </w:tr>
      <w:tr w14:paraId="128F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2C31291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70944656">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30705F9D">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共有</w:t>
            </w:r>
            <w:r>
              <w:rPr>
                <w:rFonts w:hint="eastAsia" w:ascii="仿宋_GB2312" w:eastAsia="仿宋_GB2312" w:cs="仿宋"/>
                <w:bCs/>
                <w:color w:val="auto"/>
                <w:kern w:val="2"/>
                <w:sz w:val="21"/>
                <w:szCs w:val="21"/>
                <w:highlight w:val="none"/>
                <w:lang w:val="en-US" w:eastAsia="zh-CN" w:bidi="ar-SA"/>
              </w:rPr>
              <w:t>355</w:t>
            </w:r>
            <w:r>
              <w:rPr>
                <w:rFonts w:hint="eastAsia" w:ascii="仿宋_GB2312" w:hAnsi="Calibri" w:eastAsia="仿宋_GB2312" w:cs="仿宋"/>
                <w:bCs/>
                <w:color w:val="auto"/>
                <w:kern w:val="2"/>
                <w:sz w:val="21"/>
                <w:szCs w:val="21"/>
                <w:highlight w:val="none"/>
                <w:lang w:val="en-US" w:eastAsia="zh-CN" w:bidi="ar-SA"/>
              </w:rPr>
              <w:t>名患者进行咳嗽训练</w:t>
            </w:r>
          </w:p>
        </w:tc>
      </w:tr>
    </w:tbl>
    <w:p w14:paraId="62EFCBB6">
      <w:pPr>
        <w:pStyle w:val="29"/>
        <w:spacing w:line="520" w:lineRule="exact"/>
        <w:ind w:left="0" w:leftChars="0" w:firstLine="560" w:firstLineChars="200"/>
        <w:rPr>
          <w:rFonts w:hint="eastAsia" w:ascii="仿宋_GB2312" w:eastAsia="仿宋_GB2312"/>
          <w:b w:val="0"/>
          <w:bCs w:val="0"/>
          <w:sz w:val="28"/>
          <w:szCs w:val="28"/>
          <w:highlight w:val="none"/>
          <w:lang w:val="en-US" w:eastAsia="zh-CN"/>
        </w:rPr>
      </w:pPr>
      <w:r>
        <w:rPr>
          <w:rFonts w:hint="eastAsia" w:ascii="仿宋_GB2312" w:eastAsia="仿宋_GB2312"/>
          <w:b w:val="0"/>
          <w:bCs w:val="0"/>
          <w:sz w:val="28"/>
          <w:szCs w:val="28"/>
          <w:highlight w:val="none"/>
          <w:lang w:val="en-US" w:eastAsia="zh-CN"/>
        </w:rPr>
        <w:t>首先明确协助患者采取舒适卧位或端坐位，以保证操作顺利并利于痰液引流。规范严格限制了吸引负压的安全操作范围（-80 mmHg～-150 mmHg，或-11 kPa～-20 kPa），以防止黏膜损伤。操作手法要求采用轻柔旋转提吸的方式，强调在吸引过程中必须密切观察患者面色，并持续监测心率、血氧饱和度、呼吸等关键生命体征与血流动力学变化，旨在早期发现并应对可能的并发症。本规范遵循“按需吸痰”的原则，严格限定单次吸引时间少于15秒，操作间隔为3至5分钟，以此有效防范缺氧风险，保障患者安全。</w:t>
      </w:r>
    </w:p>
    <w:tbl>
      <w:tblPr>
        <w:tblStyle w:val="14"/>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45"/>
        <w:gridCol w:w="4773"/>
        <w:gridCol w:w="3068"/>
      </w:tblGrid>
      <w:tr w14:paraId="0980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2D0501B">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年份</w:t>
            </w:r>
          </w:p>
        </w:tc>
        <w:tc>
          <w:tcPr>
            <w:tcW w:w="4773" w:type="dxa"/>
            <w:tcBorders>
              <w:top w:val="single" w:color="auto" w:sz="4" w:space="0"/>
              <w:left w:val="single" w:color="auto" w:sz="4" w:space="0"/>
              <w:bottom w:val="single" w:color="auto" w:sz="4" w:space="0"/>
              <w:right w:val="single" w:color="auto" w:sz="4" w:space="0"/>
            </w:tcBorders>
            <w:shd w:val="clear" w:color="auto" w:fill="auto"/>
            <w:vAlign w:val="center"/>
          </w:tcPr>
          <w:p w14:paraId="1BAFD39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实际操作方法</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54CF462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操作效果</w:t>
            </w:r>
          </w:p>
        </w:tc>
      </w:tr>
      <w:tr w14:paraId="580E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46ED88E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2022</w:t>
            </w:r>
          </w:p>
        </w:tc>
        <w:tc>
          <w:tcPr>
            <w:tcW w:w="4773" w:type="dxa"/>
            <w:vMerge w:val="restart"/>
            <w:tcBorders>
              <w:top w:val="single" w:color="auto" w:sz="4" w:space="0"/>
              <w:left w:val="single" w:color="auto" w:sz="4" w:space="0"/>
              <w:right w:val="single" w:color="auto" w:sz="4" w:space="0"/>
            </w:tcBorders>
            <w:shd w:val="clear" w:color="auto" w:fill="auto"/>
            <w:vAlign w:val="center"/>
          </w:tcPr>
          <w:p w14:paraId="660F852F">
            <w:pPr>
              <w:pStyle w:val="12"/>
              <w:keepNext w:val="0"/>
              <w:keepLines w:val="0"/>
              <w:pageBreakBefore w:val="0"/>
              <w:widowControl w:val="0"/>
              <w:numPr>
                <w:ilvl w:val="0"/>
                <w:numId w:val="20"/>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highlight w:val="none"/>
              </w:rPr>
            </w:pPr>
            <w:r>
              <w:rPr>
                <w:rFonts w:hint="eastAsia" w:ascii="仿宋_GB2312" w:hAnsi="仿宋_GB2312" w:eastAsia="仿宋_GB2312" w:cs="仿宋_GB2312"/>
                <w:highlight w:val="none"/>
              </w:rPr>
              <w:t>宜协助患者取舒适卧位或端坐位。</w:t>
            </w:r>
          </w:p>
          <w:p w14:paraId="513CF748">
            <w:pPr>
              <w:pStyle w:val="12"/>
              <w:keepNext w:val="0"/>
              <w:keepLines w:val="0"/>
              <w:pageBreakBefore w:val="0"/>
              <w:widowControl w:val="0"/>
              <w:numPr>
                <w:ilvl w:val="0"/>
                <w:numId w:val="20"/>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highlight w:val="none"/>
              </w:rPr>
            </w:pPr>
            <w:r>
              <w:rPr>
                <w:rFonts w:hint="eastAsia" w:ascii="仿宋_GB2312" w:hAnsi="仿宋_GB2312" w:eastAsia="仿宋_GB2312" w:cs="仿宋_GB2312"/>
                <w:highlight w:val="none"/>
              </w:rPr>
              <w:t>吸引负压应控制在-80 mmHg～-150 mmHg（-11 kPa～-20 kPa）。</w:t>
            </w:r>
          </w:p>
          <w:p w14:paraId="51B86DE6">
            <w:pPr>
              <w:pStyle w:val="12"/>
              <w:keepNext w:val="0"/>
              <w:keepLines w:val="0"/>
              <w:pageBreakBefore w:val="0"/>
              <w:widowControl w:val="0"/>
              <w:numPr>
                <w:ilvl w:val="0"/>
                <w:numId w:val="20"/>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hAnsi="仿宋_GB2312" w:eastAsia="仿宋_GB2312" w:cs="仿宋_GB2312"/>
                <w:highlight w:val="none"/>
              </w:rPr>
            </w:pPr>
            <w:r>
              <w:rPr>
                <w:rFonts w:hint="eastAsia" w:ascii="仿宋_GB2312" w:hAnsi="仿宋_GB2312" w:eastAsia="仿宋_GB2312" w:cs="仿宋_GB2312"/>
                <w:highlight w:val="none"/>
              </w:rPr>
              <w:t>采用轻柔旋转向上提吸的方式吸出痰液，吸引过程中观察患者面色，监测心率、血氧饱和度、呼吸及血流动力学情况。</w:t>
            </w:r>
          </w:p>
          <w:p w14:paraId="10E0CDF0">
            <w:pPr>
              <w:pStyle w:val="12"/>
              <w:keepNext w:val="0"/>
              <w:keepLines w:val="0"/>
              <w:pageBreakBefore w:val="0"/>
              <w:widowControl w:val="0"/>
              <w:numPr>
                <w:ilvl w:val="0"/>
                <w:numId w:val="20"/>
              </w:numPr>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firstLine="0" w:firstLineChars="0"/>
              <w:jc w:val="left"/>
              <w:textAlignment w:val="auto"/>
              <w:rPr>
                <w:rFonts w:hint="eastAsia" w:ascii="仿宋_GB2312" w:eastAsia="仿宋_GB2312" w:cs="仿宋"/>
                <w:bCs/>
                <w:color w:val="auto"/>
                <w:sz w:val="21"/>
                <w:szCs w:val="21"/>
                <w:highlight w:val="none"/>
                <w:lang w:val="en-US"/>
              </w:rPr>
            </w:pPr>
            <w:r>
              <w:rPr>
                <w:rFonts w:hint="eastAsia" w:ascii="仿宋_GB2312" w:hAnsi="仿宋_GB2312" w:eastAsia="仿宋_GB2312" w:cs="仿宋_GB2312"/>
                <w:highlight w:val="none"/>
              </w:rPr>
              <w:t>按需吸痰，每次持续时间＜15s，间歇3～5min。</w:t>
            </w: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0E7EABC">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共进行操作约</w:t>
            </w:r>
            <w:r>
              <w:rPr>
                <w:rFonts w:hint="eastAsia" w:ascii="仿宋_GB2312" w:eastAsia="仿宋_GB2312" w:cs="仿宋"/>
                <w:bCs/>
                <w:color w:val="auto"/>
                <w:kern w:val="2"/>
                <w:sz w:val="21"/>
                <w:szCs w:val="21"/>
                <w:highlight w:val="none"/>
                <w:lang w:val="en-US" w:eastAsia="zh-CN" w:bidi="ar-SA"/>
              </w:rPr>
              <w:t>305</w:t>
            </w:r>
            <w:r>
              <w:rPr>
                <w:rFonts w:hint="eastAsia" w:ascii="仿宋_GB2312" w:hAnsi="Calibri" w:eastAsia="仿宋_GB2312" w:cs="仿宋"/>
                <w:bCs/>
                <w:color w:val="auto"/>
                <w:kern w:val="2"/>
                <w:sz w:val="21"/>
                <w:szCs w:val="21"/>
                <w:highlight w:val="none"/>
                <w:lang w:val="en-US" w:eastAsia="zh-CN" w:bidi="ar-SA"/>
              </w:rPr>
              <w:t>例患者，其中并发症/意外发生率</w:t>
            </w:r>
            <w:r>
              <w:rPr>
                <w:rFonts w:hint="eastAsia" w:ascii="仿宋_GB2312" w:eastAsia="仿宋_GB2312" w:cs="仿宋"/>
                <w:bCs/>
                <w:color w:val="auto"/>
                <w:kern w:val="2"/>
                <w:sz w:val="21"/>
                <w:szCs w:val="21"/>
                <w:highlight w:val="none"/>
                <w:lang w:val="en-US" w:eastAsia="zh-CN" w:bidi="ar-SA"/>
              </w:rPr>
              <w:t>3.9%</w:t>
            </w:r>
            <w:r>
              <w:rPr>
                <w:rFonts w:hint="eastAsia" w:ascii="仿宋_GB2312" w:hAnsi="Calibri" w:eastAsia="仿宋_GB2312" w:cs="仿宋"/>
                <w:bCs/>
                <w:color w:val="auto"/>
                <w:kern w:val="2"/>
                <w:sz w:val="21"/>
                <w:szCs w:val="21"/>
                <w:highlight w:val="none"/>
                <w:lang w:val="en-US" w:eastAsia="zh-CN" w:bidi="ar-SA"/>
              </w:rPr>
              <w:t>，有效率</w:t>
            </w:r>
            <w:r>
              <w:rPr>
                <w:rFonts w:hint="eastAsia" w:ascii="仿宋_GB2312" w:eastAsia="仿宋_GB2312" w:cs="仿宋"/>
                <w:bCs/>
                <w:color w:val="auto"/>
                <w:kern w:val="2"/>
                <w:sz w:val="21"/>
                <w:szCs w:val="21"/>
                <w:highlight w:val="none"/>
                <w:lang w:val="en-US" w:eastAsia="zh-CN" w:bidi="ar-SA"/>
              </w:rPr>
              <w:t>98.9</w:t>
            </w:r>
            <w:r>
              <w:rPr>
                <w:rFonts w:hint="eastAsia" w:ascii="仿宋_GB2312" w:hAnsi="Calibri" w:eastAsia="仿宋_GB2312" w:cs="仿宋"/>
                <w:bCs/>
                <w:color w:val="auto"/>
                <w:kern w:val="2"/>
                <w:sz w:val="21"/>
                <w:szCs w:val="21"/>
                <w:highlight w:val="none"/>
                <w:lang w:val="en-US" w:eastAsia="zh-CN" w:bidi="ar-SA"/>
              </w:rPr>
              <w:t>%。</w:t>
            </w:r>
          </w:p>
        </w:tc>
      </w:tr>
      <w:tr w14:paraId="71B29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0AE9FB8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2023</w:t>
            </w:r>
          </w:p>
        </w:tc>
        <w:tc>
          <w:tcPr>
            <w:tcW w:w="4773" w:type="dxa"/>
            <w:vMerge w:val="continue"/>
            <w:tcBorders>
              <w:left w:val="single" w:color="auto" w:sz="4" w:space="0"/>
              <w:right w:val="single" w:color="auto" w:sz="4" w:space="0"/>
            </w:tcBorders>
            <w:shd w:val="clear" w:color="auto" w:fill="auto"/>
            <w:vAlign w:val="center"/>
          </w:tcPr>
          <w:p w14:paraId="21EA6722">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20BD75C8">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共进行操作约</w:t>
            </w:r>
            <w:r>
              <w:rPr>
                <w:rFonts w:hint="eastAsia" w:ascii="仿宋_GB2312" w:eastAsia="仿宋_GB2312" w:cs="仿宋"/>
                <w:bCs/>
                <w:color w:val="auto"/>
                <w:kern w:val="2"/>
                <w:sz w:val="21"/>
                <w:szCs w:val="21"/>
                <w:highlight w:val="none"/>
                <w:lang w:val="en-US" w:eastAsia="zh-CN" w:bidi="ar-SA"/>
              </w:rPr>
              <w:t>340</w:t>
            </w:r>
            <w:r>
              <w:rPr>
                <w:rFonts w:hint="eastAsia" w:ascii="仿宋_GB2312" w:hAnsi="Calibri" w:eastAsia="仿宋_GB2312" w:cs="仿宋"/>
                <w:bCs/>
                <w:color w:val="auto"/>
                <w:kern w:val="2"/>
                <w:sz w:val="21"/>
                <w:szCs w:val="21"/>
                <w:highlight w:val="none"/>
                <w:lang w:val="en-US" w:eastAsia="zh-CN" w:bidi="ar-SA"/>
              </w:rPr>
              <w:t>例患者，其中并发症/意外发生率</w:t>
            </w:r>
            <w:r>
              <w:rPr>
                <w:rFonts w:hint="eastAsia" w:ascii="仿宋_GB2312" w:eastAsia="仿宋_GB2312" w:cs="仿宋"/>
                <w:bCs/>
                <w:color w:val="auto"/>
                <w:kern w:val="2"/>
                <w:sz w:val="21"/>
                <w:szCs w:val="21"/>
                <w:highlight w:val="none"/>
                <w:lang w:val="en-US" w:eastAsia="zh-CN" w:bidi="ar-SA"/>
              </w:rPr>
              <w:t>3.2</w:t>
            </w:r>
            <w:r>
              <w:rPr>
                <w:rFonts w:hint="eastAsia" w:ascii="仿宋_GB2312" w:hAnsi="Calibri" w:eastAsia="仿宋_GB2312" w:cs="仿宋"/>
                <w:bCs/>
                <w:color w:val="auto"/>
                <w:kern w:val="2"/>
                <w:sz w:val="21"/>
                <w:szCs w:val="21"/>
                <w:highlight w:val="none"/>
                <w:lang w:val="en-US" w:eastAsia="zh-CN" w:bidi="ar-SA"/>
              </w:rPr>
              <w:t>%，有效率</w:t>
            </w:r>
            <w:r>
              <w:rPr>
                <w:rFonts w:hint="eastAsia" w:ascii="仿宋_GB2312" w:eastAsia="仿宋_GB2312" w:cs="仿宋"/>
                <w:bCs/>
                <w:color w:val="auto"/>
                <w:kern w:val="2"/>
                <w:sz w:val="21"/>
                <w:szCs w:val="21"/>
                <w:highlight w:val="none"/>
                <w:lang w:val="en-US" w:eastAsia="zh-CN" w:bidi="ar-SA"/>
              </w:rPr>
              <w:t>98.0</w:t>
            </w:r>
            <w:r>
              <w:rPr>
                <w:rFonts w:hint="eastAsia" w:ascii="仿宋_GB2312" w:hAnsi="Calibri" w:eastAsia="仿宋_GB2312" w:cs="仿宋"/>
                <w:bCs/>
                <w:color w:val="auto"/>
                <w:kern w:val="2"/>
                <w:sz w:val="21"/>
                <w:szCs w:val="21"/>
                <w:highlight w:val="none"/>
                <w:lang w:val="en-US" w:eastAsia="zh-CN" w:bidi="ar-SA"/>
              </w:rPr>
              <w:t>%。</w:t>
            </w:r>
          </w:p>
        </w:tc>
      </w:tr>
      <w:tr w14:paraId="514DD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tcBorders>
              <w:top w:val="single" w:color="auto" w:sz="4" w:space="0"/>
              <w:left w:val="single" w:color="auto" w:sz="4" w:space="0"/>
              <w:bottom w:val="single" w:color="auto" w:sz="4" w:space="0"/>
              <w:right w:val="single" w:color="auto" w:sz="4" w:space="0"/>
            </w:tcBorders>
            <w:shd w:val="clear" w:color="auto" w:fill="auto"/>
            <w:vAlign w:val="center"/>
          </w:tcPr>
          <w:p w14:paraId="612645C9">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firstLine="0" w:firstLineChars="0"/>
              <w:jc w:val="center"/>
              <w:textAlignment w:val="auto"/>
              <w:rPr>
                <w:rFonts w:hint="eastAsia" w:ascii="仿宋_GB2312" w:eastAsia="仿宋_GB2312" w:cs="仿宋"/>
                <w:bCs/>
                <w:color w:val="auto"/>
                <w:sz w:val="21"/>
                <w:szCs w:val="21"/>
                <w:highlight w:val="none"/>
                <w:lang w:val="en-US"/>
              </w:rPr>
            </w:pPr>
            <w:r>
              <w:rPr>
                <w:rFonts w:hint="eastAsia" w:ascii="仿宋_GB2312" w:hAnsi="Times New Roman" w:eastAsia="仿宋_GB2312" w:cs="仿宋"/>
                <w:bCs/>
                <w:color w:val="auto"/>
                <w:kern w:val="0"/>
                <w:sz w:val="21"/>
                <w:szCs w:val="21"/>
                <w:highlight w:val="none"/>
                <w:lang w:val="en-US" w:eastAsia="zh-CN" w:bidi="ar"/>
              </w:rPr>
              <w:t>2024</w:t>
            </w:r>
          </w:p>
        </w:tc>
        <w:tc>
          <w:tcPr>
            <w:tcW w:w="4773" w:type="dxa"/>
            <w:vMerge w:val="continue"/>
            <w:tcBorders>
              <w:left w:val="single" w:color="auto" w:sz="4" w:space="0"/>
              <w:bottom w:val="single" w:color="auto" w:sz="4" w:space="0"/>
              <w:right w:val="single" w:color="auto" w:sz="4" w:space="0"/>
            </w:tcBorders>
            <w:shd w:val="clear" w:color="auto" w:fill="auto"/>
            <w:vAlign w:val="center"/>
          </w:tcPr>
          <w:p w14:paraId="5BE0D5D1">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right="0"/>
              <w:jc w:val="left"/>
              <w:textAlignment w:val="auto"/>
              <w:rPr>
                <w:rFonts w:hint="eastAsia" w:ascii="仿宋_GB2312" w:eastAsia="仿宋_GB2312" w:cs="仿宋"/>
                <w:bCs/>
                <w:color w:val="auto"/>
                <w:sz w:val="21"/>
                <w:szCs w:val="21"/>
                <w:highlight w:val="none"/>
                <w:lang w:val="en-US"/>
              </w:rPr>
            </w:pPr>
          </w:p>
        </w:tc>
        <w:tc>
          <w:tcPr>
            <w:tcW w:w="3068" w:type="dxa"/>
            <w:tcBorders>
              <w:top w:val="single" w:color="auto" w:sz="4" w:space="0"/>
              <w:left w:val="single" w:color="auto" w:sz="4" w:space="0"/>
              <w:bottom w:val="single" w:color="auto" w:sz="4" w:space="0"/>
              <w:right w:val="single" w:color="auto" w:sz="4" w:space="0"/>
            </w:tcBorders>
            <w:shd w:val="clear" w:color="auto" w:fill="auto"/>
            <w:vAlign w:val="center"/>
          </w:tcPr>
          <w:p w14:paraId="62E8D44E">
            <w:pPr>
              <w:pStyle w:val="12"/>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left"/>
              <w:textAlignment w:val="auto"/>
              <w:rPr>
                <w:rFonts w:hint="eastAsia" w:ascii="仿宋_GB2312" w:hAnsi="Calibri" w:eastAsia="仿宋_GB2312" w:cs="仿宋"/>
                <w:bCs/>
                <w:color w:val="auto"/>
                <w:kern w:val="2"/>
                <w:sz w:val="21"/>
                <w:szCs w:val="21"/>
                <w:highlight w:val="none"/>
                <w:lang w:val="en-US" w:eastAsia="zh-CN" w:bidi="ar-SA"/>
              </w:rPr>
            </w:pPr>
            <w:r>
              <w:rPr>
                <w:rFonts w:hint="eastAsia" w:ascii="仿宋_GB2312" w:hAnsi="Calibri" w:eastAsia="仿宋_GB2312" w:cs="仿宋"/>
                <w:bCs/>
                <w:color w:val="auto"/>
                <w:kern w:val="2"/>
                <w:sz w:val="21"/>
                <w:szCs w:val="21"/>
                <w:highlight w:val="none"/>
                <w:lang w:val="en-US" w:eastAsia="zh-CN" w:bidi="ar-SA"/>
              </w:rPr>
              <w:t>共进行操作约</w:t>
            </w:r>
            <w:r>
              <w:rPr>
                <w:rFonts w:hint="eastAsia" w:ascii="仿宋_GB2312" w:eastAsia="仿宋_GB2312" w:cs="仿宋"/>
                <w:bCs/>
                <w:color w:val="auto"/>
                <w:kern w:val="2"/>
                <w:sz w:val="21"/>
                <w:szCs w:val="21"/>
                <w:highlight w:val="none"/>
                <w:lang w:val="en-US" w:eastAsia="zh-CN" w:bidi="ar-SA"/>
              </w:rPr>
              <w:t>355</w:t>
            </w:r>
            <w:r>
              <w:rPr>
                <w:rFonts w:hint="eastAsia" w:ascii="仿宋_GB2312" w:hAnsi="Calibri" w:eastAsia="仿宋_GB2312" w:cs="仿宋"/>
                <w:bCs/>
                <w:color w:val="auto"/>
                <w:kern w:val="2"/>
                <w:sz w:val="21"/>
                <w:szCs w:val="21"/>
                <w:highlight w:val="none"/>
                <w:lang w:val="en-US" w:eastAsia="zh-CN" w:bidi="ar-SA"/>
              </w:rPr>
              <w:t>例患者，其中并发症/意外发生率</w:t>
            </w:r>
            <w:r>
              <w:rPr>
                <w:rFonts w:hint="eastAsia" w:ascii="仿宋_GB2312" w:eastAsia="仿宋_GB2312" w:cs="仿宋"/>
                <w:bCs/>
                <w:color w:val="auto"/>
                <w:kern w:val="2"/>
                <w:sz w:val="21"/>
                <w:szCs w:val="21"/>
                <w:highlight w:val="none"/>
                <w:lang w:val="en-US" w:eastAsia="zh-CN" w:bidi="ar-SA"/>
              </w:rPr>
              <w:t>3.8</w:t>
            </w:r>
            <w:r>
              <w:rPr>
                <w:rFonts w:hint="eastAsia" w:ascii="仿宋_GB2312" w:hAnsi="Calibri" w:eastAsia="仿宋_GB2312" w:cs="仿宋"/>
                <w:bCs/>
                <w:color w:val="auto"/>
                <w:kern w:val="2"/>
                <w:sz w:val="21"/>
                <w:szCs w:val="21"/>
                <w:highlight w:val="none"/>
                <w:lang w:val="en-US" w:eastAsia="zh-CN" w:bidi="ar-SA"/>
              </w:rPr>
              <w:t>%，有效率</w:t>
            </w:r>
            <w:r>
              <w:rPr>
                <w:rFonts w:hint="eastAsia" w:ascii="仿宋_GB2312" w:eastAsia="仿宋_GB2312" w:cs="仿宋"/>
                <w:bCs/>
                <w:color w:val="auto"/>
                <w:kern w:val="2"/>
                <w:sz w:val="21"/>
                <w:szCs w:val="21"/>
                <w:highlight w:val="none"/>
                <w:lang w:val="en-US" w:eastAsia="zh-CN" w:bidi="ar-SA"/>
              </w:rPr>
              <w:t>98.5</w:t>
            </w:r>
            <w:r>
              <w:rPr>
                <w:rFonts w:hint="eastAsia" w:ascii="仿宋_GB2312" w:hAnsi="Calibri" w:eastAsia="仿宋_GB2312" w:cs="仿宋"/>
                <w:bCs/>
                <w:color w:val="auto"/>
                <w:kern w:val="2"/>
                <w:sz w:val="21"/>
                <w:szCs w:val="21"/>
                <w:highlight w:val="none"/>
                <w:lang w:val="en-US" w:eastAsia="zh-CN" w:bidi="ar-SA"/>
              </w:rPr>
              <w:t>%。</w:t>
            </w:r>
          </w:p>
        </w:tc>
      </w:tr>
    </w:tbl>
    <w:p w14:paraId="503AE1D5">
      <w:pPr>
        <w:pStyle w:val="29"/>
        <w:spacing w:line="520" w:lineRule="exact"/>
        <w:ind w:left="0" w:leftChars="0" w:firstLine="562" w:firstLineChars="200"/>
        <w:rPr>
          <w:rFonts w:hint="eastAsia" w:ascii="仿宋_GB2312" w:eastAsia="仿宋_GB2312" w:cs="仿宋"/>
          <w:bCs/>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（四）注意事项</w:t>
      </w:r>
    </w:p>
    <w:p w14:paraId="72D92606">
      <w:pPr>
        <w:pStyle w:val="29"/>
        <w:spacing w:line="520" w:lineRule="exact"/>
        <w:ind w:left="0" w:leftChars="0" w:firstLine="560" w:firstLineChars="200"/>
        <w:rPr>
          <w:rFonts w:hint="default" w:ascii="仿宋_GB2312" w:eastAsia="仿宋_GB2312" w:cs="仿宋"/>
          <w:bCs/>
          <w:color w:val="auto"/>
          <w:sz w:val="28"/>
          <w:szCs w:val="28"/>
          <w:highlight w:val="none"/>
          <w:lang w:val="en-US" w:eastAsia="zh-CN"/>
        </w:rPr>
      </w:pPr>
      <w:r>
        <w:rPr>
          <w:rFonts w:hint="default" w:ascii="仿宋_GB2312" w:eastAsia="仿宋_GB2312" w:cs="仿宋"/>
          <w:bCs/>
          <w:color w:val="auto"/>
          <w:sz w:val="28"/>
          <w:szCs w:val="28"/>
          <w:highlight w:val="none"/>
          <w:lang w:val="en-US" w:eastAsia="zh-CN"/>
        </w:rPr>
        <w:t>注意事项如下：</w:t>
      </w:r>
    </w:p>
    <w:p w14:paraId="7E00E833">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应在餐后2 h或餐前1～2 h进行，主要是基于患者安全和治疗有效性两大方面的考虑，核心是为了防止呕吐和误吸，并确保治疗效果。</w:t>
      </w:r>
    </w:p>
    <w:p w14:paraId="5FD743E1">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操作前宜进行雾化吸入诱导排痰，应鼓励患者多饮水，以稀释痰液。</w:t>
      </w:r>
    </w:p>
    <w:p w14:paraId="05F29519">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操作者应选择正确的操作位置，应避免站在患者正前方，最主要的原因是为了防止被患者喷溅的分泌物或呕吐物直接污染，从而保护操作者自身的安全。</w:t>
      </w:r>
    </w:p>
    <w:p w14:paraId="0514B46F">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观察患者痰液性质、量及颜色，听诊肺部呼吸音情况，评价排痰效果。</w:t>
      </w:r>
    </w:p>
    <w:p w14:paraId="187F6ACF">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 xml:space="preserve">参考《成人ICU 患者气道廓清的最佳证据总结》严密观察患者的神志、面色、呼吸、咳嗽、咳痰情况以及有无胸闷和呼吸困难等并发症，随时询问患者感受，根据患者耐受情况随时调整治疗参数及体位。 </w:t>
      </w:r>
    </w:p>
    <w:p w14:paraId="26F94F4D">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保持管道通畅并妥善固定，避免拖拉患者，保护局部皮肤。</w:t>
      </w:r>
    </w:p>
    <w:p w14:paraId="4804CF55">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保护患者隐私，做好保暖。</w:t>
      </w:r>
    </w:p>
    <w:p w14:paraId="3BB97077">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叩击部位应避开乳房、心前区、骨突处（如脊椎、肩胛骨、胸骨）、手术/创伤部位、衣物硬物（如拉链）等。</w:t>
      </w:r>
    </w:p>
    <w:p w14:paraId="1841CDA7">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空洞型肺结核患者，禁用高频振动（＞18 Hz）排痰。</w:t>
      </w:r>
    </w:p>
    <w:p w14:paraId="1963F1B0">
      <w:pPr>
        <w:pStyle w:val="29"/>
        <w:numPr>
          <w:ilvl w:val="0"/>
          <w:numId w:val="21"/>
        </w:numPr>
        <w:spacing w:line="520" w:lineRule="exact"/>
        <w:ind w:left="420" w:leftChars="0" w:hanging="420" w:firstLine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排痰过程出现以下情况，应立即停止操作，并采取针对干预措施：</w:t>
      </w:r>
    </w:p>
    <w:p w14:paraId="143CAF20">
      <w:pPr>
        <w:pStyle w:val="29"/>
        <w:numPr>
          <w:ilvl w:val="0"/>
          <w:numId w:val="0"/>
        </w:numPr>
        <w:spacing w:line="520" w:lineRule="exact"/>
        <w:ind w:left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a)患者出现不耐受</w:t>
      </w:r>
    </w:p>
    <w:p w14:paraId="10FCA774">
      <w:pPr>
        <w:pStyle w:val="29"/>
        <w:numPr>
          <w:ilvl w:val="0"/>
          <w:numId w:val="0"/>
        </w:numPr>
        <w:spacing w:line="520" w:lineRule="exact"/>
        <w:ind w:left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b)心率和/或血压波动大于20％，呼吸频率＞35次/min,或SpO2＜90％；</w:t>
      </w:r>
    </w:p>
    <w:p w14:paraId="212E3E08">
      <w:pPr>
        <w:pStyle w:val="29"/>
        <w:numPr>
          <w:ilvl w:val="0"/>
          <w:numId w:val="0"/>
        </w:numPr>
        <w:spacing w:line="520" w:lineRule="exact"/>
        <w:ind w:left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c)患者意识神志发生改变或出现发绀、憋气、胸闷、新发或持续胸痛、心律失常、呼吸困难等不适症状；</w:t>
      </w:r>
    </w:p>
    <w:p w14:paraId="5BEBB65D">
      <w:pPr>
        <w:pStyle w:val="29"/>
        <w:numPr>
          <w:ilvl w:val="0"/>
          <w:numId w:val="0"/>
        </w:numPr>
        <w:spacing w:line="520" w:lineRule="exact"/>
        <w:ind w:left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d)操作部位出现出血点或皮肤瘀斑；</w:t>
      </w:r>
    </w:p>
    <w:p w14:paraId="7E8523A5">
      <w:pPr>
        <w:pStyle w:val="29"/>
        <w:numPr>
          <w:ilvl w:val="0"/>
          <w:numId w:val="0"/>
        </w:numPr>
        <w:spacing w:line="520" w:lineRule="exact"/>
        <w:ind w:leftChars="0"/>
        <w:rPr>
          <w:rFonts w:hint="eastAsia" w:ascii="仿宋_GB2312" w:eastAsia="仿宋_GB2312" w:cs="仿宋"/>
          <w:bCs/>
          <w:color w:val="auto"/>
          <w:sz w:val="28"/>
          <w:szCs w:val="28"/>
          <w:highlight w:val="none"/>
          <w:lang w:val="en-US" w:eastAsia="zh-CN"/>
        </w:rPr>
      </w:pPr>
      <w:r>
        <w:rPr>
          <w:rFonts w:hint="eastAsia" w:ascii="仿宋_GB2312" w:eastAsia="仿宋_GB2312" w:cs="仿宋"/>
          <w:bCs/>
          <w:color w:val="auto"/>
          <w:sz w:val="28"/>
          <w:szCs w:val="28"/>
          <w:highlight w:val="none"/>
          <w:lang w:val="en-US" w:eastAsia="zh-CN"/>
        </w:rPr>
        <w:t>e)操作过程有新出现的血痰。</w:t>
      </w:r>
    </w:p>
    <w:p w14:paraId="1E0A6BB6">
      <w:pPr>
        <w:pStyle w:val="31"/>
        <w:numPr>
          <w:ilvl w:val="0"/>
          <w:numId w:val="0"/>
        </w:numPr>
        <w:spacing w:beforeLines="0" w:afterLines="0" w:line="360" w:lineRule="auto"/>
        <w:rPr>
          <w:rFonts w:hint="eastAsia"/>
          <w:bCs/>
          <w:color w:val="auto"/>
          <w:sz w:val="32"/>
          <w:szCs w:val="32"/>
          <w:highlight w:val="none"/>
        </w:rPr>
      </w:pPr>
      <w:r>
        <w:rPr>
          <w:rFonts w:hint="eastAsia"/>
          <w:b/>
          <w:bCs/>
          <w:color w:val="auto"/>
          <w:sz w:val="32"/>
          <w:szCs w:val="32"/>
          <w:highlight w:val="none"/>
        </w:rPr>
        <w:t>六</w:t>
      </w:r>
      <w:r>
        <w:rPr>
          <w:rFonts w:hint="eastAsia"/>
          <w:bCs/>
          <w:color w:val="auto"/>
          <w:sz w:val="32"/>
          <w:szCs w:val="32"/>
          <w:highlight w:val="none"/>
        </w:rPr>
        <w:t>、</w:t>
      </w:r>
      <w:r>
        <w:rPr>
          <w:rFonts w:hint="eastAsia"/>
          <w:color w:val="auto"/>
          <w:sz w:val="32"/>
          <w:szCs w:val="32"/>
          <w:highlight w:val="none"/>
        </w:rPr>
        <w:t>重大意见分歧的处理依据和结果</w:t>
      </w:r>
    </w:p>
    <w:p w14:paraId="0B77F7BE">
      <w:pPr>
        <w:spacing w:line="52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本标准研制过程中无重大分歧意见。</w:t>
      </w:r>
    </w:p>
    <w:p w14:paraId="6CF0D3B6">
      <w:pPr>
        <w:autoSpaceDE w:val="0"/>
        <w:autoSpaceDN w:val="0"/>
        <w:adjustRightInd w:val="0"/>
        <w:spacing w:before="156" w:beforeLines="50" w:after="156" w:afterLines="50" w:line="520" w:lineRule="exact"/>
        <w:ind w:firstLine="640" w:firstLineChars="200"/>
        <w:outlineLvl w:val="0"/>
        <w:rPr>
          <w:rFonts w:eastAsia="黑体"/>
          <w:color w:val="auto"/>
          <w:sz w:val="32"/>
          <w:szCs w:val="32"/>
          <w:highlight w:val="none"/>
        </w:rPr>
      </w:pPr>
      <w:r>
        <w:rPr>
          <w:rFonts w:hint="eastAsia" w:ascii="黑体" w:eastAsia="黑体"/>
          <w:bCs/>
          <w:color w:val="auto"/>
          <w:sz w:val="32"/>
          <w:szCs w:val="32"/>
          <w:highlight w:val="none"/>
        </w:rPr>
        <w:t>七、</w:t>
      </w:r>
      <w:r>
        <w:rPr>
          <w:rFonts w:hint="eastAsia" w:eastAsia="黑体"/>
          <w:color w:val="auto"/>
          <w:sz w:val="32"/>
          <w:szCs w:val="32"/>
          <w:highlight w:val="none"/>
        </w:rPr>
        <w:t>实施标准的措施</w:t>
      </w:r>
    </w:p>
    <w:p w14:paraId="048980F9">
      <w:pPr>
        <w:spacing w:line="500" w:lineRule="exact"/>
        <w:ind w:firstLine="562" w:firstLineChars="200"/>
        <w:rPr>
          <w:rFonts w:hint="eastAsia" w:ascii="仿宋_GB2312" w:eastAsia="仿宋_GB2312" w:cs="仿宋_GB2312"/>
          <w:b/>
          <w:color w:val="auto"/>
          <w:sz w:val="28"/>
          <w:szCs w:val="28"/>
          <w:highlight w:val="none"/>
        </w:rPr>
      </w:pPr>
      <w:r>
        <w:rPr>
          <w:rFonts w:hint="eastAsia" w:ascii="仿宋_GB2312" w:eastAsia="仿宋_GB2312" w:cs="仿宋_GB2312"/>
          <w:b/>
          <w:color w:val="auto"/>
          <w:sz w:val="28"/>
          <w:szCs w:val="28"/>
          <w:highlight w:val="none"/>
        </w:rPr>
        <w:t>（一）标准报批发布后，成立标准宣贯工作组</w:t>
      </w:r>
    </w:p>
    <w:p w14:paraId="4AEE905D">
      <w:pPr>
        <w:spacing w:line="50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1131891">
      <w:pPr>
        <w:spacing w:line="500" w:lineRule="exact"/>
        <w:ind w:firstLine="562" w:firstLineChars="200"/>
        <w:rPr>
          <w:rFonts w:hint="eastAsia" w:ascii="仿宋_GB2312" w:eastAsia="仿宋_GB2312"/>
          <w:b/>
          <w:color w:val="auto"/>
          <w:sz w:val="28"/>
          <w:szCs w:val="28"/>
          <w:highlight w:val="none"/>
        </w:rPr>
      </w:pPr>
      <w:r>
        <w:rPr>
          <w:rFonts w:hint="eastAsia" w:ascii="仿宋_GB2312" w:eastAsia="仿宋_GB2312"/>
          <w:b/>
          <w:color w:val="auto"/>
          <w:sz w:val="28"/>
          <w:szCs w:val="28"/>
          <w:highlight w:val="none"/>
        </w:rPr>
        <w:t>（二）组织开展标准宣贯培训</w:t>
      </w:r>
    </w:p>
    <w:p w14:paraId="6C9FE76B">
      <w:pPr>
        <w:spacing w:line="50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中医技术高质量发展。</w:t>
      </w:r>
    </w:p>
    <w:p w14:paraId="01A158FA">
      <w:pPr>
        <w:spacing w:line="500" w:lineRule="exact"/>
        <w:ind w:firstLine="562" w:firstLineChars="200"/>
        <w:rPr>
          <w:rFonts w:hint="eastAsia" w:ascii="仿宋_GB2312" w:eastAsia="仿宋_GB2312"/>
          <w:b/>
          <w:color w:val="auto"/>
          <w:sz w:val="28"/>
          <w:szCs w:val="28"/>
          <w:highlight w:val="none"/>
        </w:rPr>
      </w:pPr>
      <w:r>
        <w:rPr>
          <w:rFonts w:hint="eastAsia" w:ascii="仿宋_GB2312" w:eastAsia="仿宋_GB2312"/>
          <w:b/>
          <w:color w:val="auto"/>
          <w:sz w:val="28"/>
          <w:szCs w:val="28"/>
          <w:highlight w:val="none"/>
        </w:rPr>
        <w:t>（三）开展标准实施交流会，收集标准实施反馈信息</w:t>
      </w:r>
    </w:p>
    <w:p w14:paraId="0233BB8E">
      <w:pPr>
        <w:spacing w:line="50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标准起草小组深入各市县医疗机构组织医师和医护人员召开标准实施交流会，听取标准实施过程中存在的问题并做好记录和解答，对存在的问题组织专家团队进行研讨，为标准的复审修订做准备。</w:t>
      </w:r>
    </w:p>
    <w:p w14:paraId="6F30D238">
      <w:pPr>
        <w:spacing w:line="500" w:lineRule="exact"/>
        <w:ind w:firstLine="562" w:firstLineChars="200"/>
        <w:rPr>
          <w:rFonts w:hint="eastAsia" w:ascii="仿宋_GB2312" w:eastAsia="仿宋_GB2312"/>
          <w:b/>
          <w:color w:val="auto"/>
          <w:sz w:val="28"/>
          <w:szCs w:val="28"/>
          <w:highlight w:val="none"/>
        </w:rPr>
      </w:pPr>
      <w:r>
        <w:rPr>
          <w:rFonts w:hint="eastAsia" w:ascii="仿宋_GB2312" w:eastAsia="仿宋_GB2312"/>
          <w:b/>
          <w:color w:val="auto"/>
          <w:sz w:val="28"/>
          <w:szCs w:val="28"/>
          <w:highlight w:val="none"/>
        </w:rPr>
        <w:t>（四）开展标准实施效果评估</w:t>
      </w:r>
    </w:p>
    <w:p w14:paraId="568DDA1E">
      <w:pPr>
        <w:spacing w:line="50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标准实施满2年，每年标准宣贯工作组采取网络调查、问卷调查、实地调研、召开座谈会或论证会、专家咨询等方式开展标准实施效果评估，并形成标准实施效果评估报告，为标准的复审修订做准备。</w:t>
      </w:r>
    </w:p>
    <w:p w14:paraId="4F1A5011">
      <w:pPr>
        <w:spacing w:before="240" w:after="60" w:line="520" w:lineRule="exact"/>
        <w:ind w:firstLine="640" w:firstLineChars="200"/>
        <w:outlineLvl w:val="0"/>
        <w:rPr>
          <w:rFonts w:hint="eastAsia" w:ascii="黑体" w:eastAsia="黑体"/>
          <w:bCs/>
          <w:color w:val="auto"/>
          <w:sz w:val="32"/>
          <w:szCs w:val="32"/>
          <w:highlight w:val="none"/>
        </w:rPr>
      </w:pPr>
      <w:r>
        <w:rPr>
          <w:rFonts w:hint="eastAsia" w:ascii="黑体" w:eastAsia="黑体"/>
          <w:bCs/>
          <w:color w:val="auto"/>
          <w:sz w:val="32"/>
          <w:szCs w:val="32"/>
          <w:highlight w:val="none"/>
        </w:rPr>
        <w:t>八、其他应当说明的事项</w:t>
      </w:r>
    </w:p>
    <w:p w14:paraId="2BE603CE">
      <w:pPr>
        <w:spacing w:line="52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无。</w:t>
      </w:r>
    </w:p>
    <w:p w14:paraId="4C84E4FA">
      <w:pPr>
        <w:autoSpaceDE w:val="0"/>
        <w:autoSpaceDN w:val="0"/>
        <w:adjustRightInd w:val="0"/>
        <w:spacing w:before="156" w:beforeLines="50" w:after="156" w:afterLines="50" w:line="520" w:lineRule="exact"/>
        <w:ind w:firstLine="640"/>
        <w:outlineLvl w:val="0"/>
        <w:rPr>
          <w:rFonts w:hint="eastAsia" w:eastAsia="黑体"/>
          <w:color w:val="auto"/>
          <w:sz w:val="32"/>
          <w:szCs w:val="32"/>
          <w:highlight w:val="none"/>
        </w:rPr>
      </w:pPr>
      <w:r>
        <w:rPr>
          <w:rFonts w:hint="eastAsia" w:eastAsia="黑体"/>
          <w:color w:val="auto"/>
          <w:sz w:val="32"/>
          <w:szCs w:val="32"/>
          <w:highlight w:val="none"/>
        </w:rPr>
        <w:t>九、自我承诺</w:t>
      </w:r>
    </w:p>
    <w:p w14:paraId="75A01BB4">
      <w:pPr>
        <w:spacing w:line="52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该标准的内容符合国家相关法律法规，技术要求不低于强制性国家标准的相关技术要求，与相关的国家、行业推荐性标准协调一致，标准的编写符合GB/T 1.1-2020的要求。</w:t>
      </w:r>
    </w:p>
    <w:p w14:paraId="0E7CA7D1">
      <w:pPr>
        <w:pStyle w:val="22"/>
        <w:rPr>
          <w:rFonts w:hint="eastAsia" w:ascii="仿宋_GB2312" w:eastAsia="仿宋_GB2312"/>
          <w:color w:val="auto"/>
          <w:sz w:val="28"/>
          <w:szCs w:val="28"/>
          <w:highlight w:val="none"/>
        </w:rPr>
      </w:pPr>
    </w:p>
    <w:p w14:paraId="41014B44">
      <w:pPr>
        <w:pStyle w:val="22"/>
        <w:rPr>
          <w:rFonts w:hint="eastAsia" w:ascii="仿宋_GB2312" w:eastAsia="仿宋_GB2312"/>
          <w:color w:val="auto"/>
          <w:sz w:val="28"/>
          <w:szCs w:val="28"/>
          <w:highlight w:val="none"/>
        </w:rPr>
      </w:pPr>
    </w:p>
    <w:p w14:paraId="3808CEAA">
      <w:pPr>
        <w:pStyle w:val="22"/>
        <w:rPr>
          <w:rFonts w:hint="eastAsia" w:ascii="仿宋_GB2312" w:eastAsia="仿宋_GB2312"/>
          <w:color w:val="auto"/>
          <w:sz w:val="28"/>
          <w:szCs w:val="28"/>
          <w:highlight w:val="none"/>
        </w:rPr>
      </w:pPr>
    </w:p>
    <w:p w14:paraId="58C97B6D">
      <w:pPr>
        <w:spacing w:before="240" w:after="60" w:line="520" w:lineRule="exact"/>
        <w:jc w:val="right"/>
        <w:outlineLvl w:val="0"/>
        <w:rPr>
          <w:rFonts w:hint="eastAsia" w:ascii="仿宋_GB2312" w:eastAsia="仿宋_GB2312"/>
          <w:color w:val="auto"/>
          <w:sz w:val="28"/>
          <w:szCs w:val="28"/>
        </w:rPr>
      </w:pPr>
      <w:r>
        <w:rPr>
          <w:rFonts w:hint="eastAsia" w:ascii="仿宋_GB2312" w:eastAsia="仿宋_GB2312"/>
          <w:color w:val="auto"/>
          <w:sz w:val="28"/>
          <w:szCs w:val="28"/>
          <w:highlight w:val="none"/>
          <w:lang w:val="en-US" w:eastAsia="zh-CN"/>
        </w:rPr>
        <w:t>团体标准</w:t>
      </w:r>
      <w:r>
        <w:rPr>
          <w:rFonts w:hint="eastAsia" w:ascii="仿宋_GB2312" w:eastAsia="仿宋_GB2312"/>
          <w:color w:val="auto"/>
          <w:sz w:val="28"/>
          <w:szCs w:val="28"/>
          <w:highlight w:val="none"/>
        </w:rPr>
        <w:t>《</w:t>
      </w:r>
      <w:r>
        <w:rPr>
          <w:rFonts w:hint="eastAsia" w:ascii="仿宋_GB2312" w:eastAsia="仿宋_GB2312"/>
          <w:color w:val="auto"/>
          <w:sz w:val="28"/>
          <w:szCs w:val="28"/>
          <w:highlight w:val="none"/>
          <w:lang w:eastAsia="zh-CN"/>
        </w:rPr>
        <w:t>成人肺</w:t>
      </w:r>
      <w:r>
        <w:rPr>
          <w:rFonts w:hint="eastAsia" w:ascii="仿宋_GB2312" w:eastAsia="仿宋_GB2312"/>
          <w:color w:val="auto"/>
          <w:sz w:val="28"/>
          <w:szCs w:val="28"/>
          <w:lang w:eastAsia="zh-CN"/>
        </w:rPr>
        <w:t>结核排痰护理技术规范</w:t>
      </w:r>
      <w:r>
        <w:rPr>
          <w:rFonts w:hint="eastAsia" w:ascii="仿宋_GB2312" w:eastAsia="仿宋_GB2312"/>
          <w:color w:val="auto"/>
          <w:sz w:val="28"/>
          <w:szCs w:val="28"/>
        </w:rPr>
        <w:t>》</w:t>
      </w:r>
    </w:p>
    <w:p w14:paraId="15861038">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5C9BBD8">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9</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日</w:t>
      </w:r>
    </w:p>
    <w:sectPr>
      <w:headerReference r:id="rId3" w:type="default"/>
      <w:footerReference r:id="rId4"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F3A16C-5375-4B69-B5BC-5B4F3CF844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F4FB3D8-ECD2-42A4-BC65-B924FE305E7D}"/>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3" w:fontKey="{3D1C731D-88D4-46AB-B385-6020A50B318D}"/>
  </w:font>
  <w:font w:name="仿宋_GB2312">
    <w:panose1 w:val="02010609030101010101"/>
    <w:charset w:val="86"/>
    <w:family w:val="modern"/>
    <w:pitch w:val="default"/>
    <w:sig w:usb0="00000001" w:usb1="080E0000" w:usb2="00000000" w:usb3="00000000" w:csb0="00040000" w:csb1="00000000"/>
    <w:embedRegular r:id="rId4" w:fontKey="{3B304026-CDE8-4E6C-93BB-4D2A56218909}"/>
  </w:font>
  <w:font w:name="仿宋">
    <w:panose1 w:val="02010609060101010101"/>
    <w:charset w:val="86"/>
    <w:family w:val="modern"/>
    <w:pitch w:val="default"/>
    <w:sig w:usb0="800002BF" w:usb1="38CF7CFA" w:usb2="00000016" w:usb3="00000000" w:csb0="00040001" w:csb1="00000000"/>
    <w:embedRegular r:id="rId5" w:fontKey="{FD563C6B-0B2F-4F4B-B33F-74EF5A0F55A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C6F5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65AD17E8">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65AD17E8">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471E9">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3527B"/>
    <w:multiLevelType w:val="singleLevel"/>
    <w:tmpl w:val="8A93527B"/>
    <w:lvl w:ilvl="0" w:tentative="0">
      <w:start w:val="1"/>
      <w:numFmt w:val="decimal"/>
      <w:suff w:val="nothing"/>
      <w:lvlText w:val="%1．"/>
      <w:lvlJc w:val="left"/>
      <w:pPr>
        <w:ind w:left="0" w:firstLine="400"/>
      </w:pPr>
      <w:rPr>
        <w:rFonts w:hint="default"/>
        <w:sz w:val="21"/>
        <w:szCs w:val="21"/>
      </w:rPr>
    </w:lvl>
  </w:abstractNum>
  <w:abstractNum w:abstractNumId="1">
    <w:nsid w:val="8DDF8329"/>
    <w:multiLevelType w:val="multilevel"/>
    <w:tmpl w:val="8DDF8329"/>
    <w:lvl w:ilvl="0" w:tentative="0">
      <w:start w:val="1"/>
      <w:numFmt w:val="decimal"/>
      <w:pStyle w:val="40"/>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2">
    <w:nsid w:val="B8489A77"/>
    <w:multiLevelType w:val="singleLevel"/>
    <w:tmpl w:val="B8489A77"/>
    <w:lvl w:ilvl="0" w:tentative="0">
      <w:start w:val="1"/>
      <w:numFmt w:val="decimal"/>
      <w:suff w:val="nothing"/>
      <w:lvlText w:val="%1．"/>
      <w:lvlJc w:val="left"/>
      <w:pPr>
        <w:ind w:left="0" w:firstLine="400"/>
      </w:pPr>
      <w:rPr>
        <w:rFonts w:hint="default"/>
        <w:sz w:val="21"/>
        <w:szCs w:val="21"/>
      </w:rPr>
    </w:lvl>
  </w:abstractNum>
  <w:abstractNum w:abstractNumId="3">
    <w:nsid w:val="FA25A687"/>
    <w:multiLevelType w:val="singleLevel"/>
    <w:tmpl w:val="FA25A687"/>
    <w:lvl w:ilvl="0" w:tentative="0">
      <w:start w:val="1"/>
      <w:numFmt w:val="chineseCounting"/>
      <w:suff w:val="nothing"/>
      <w:lvlText w:val="（%1）"/>
      <w:lvlJc w:val="left"/>
      <w:rPr>
        <w:rFonts w:hint="eastAsia"/>
      </w:rPr>
    </w:lvl>
  </w:abstractNum>
  <w:abstractNum w:abstractNumId="4">
    <w:nsid w:val="FFEE46E6"/>
    <w:multiLevelType w:val="singleLevel"/>
    <w:tmpl w:val="FFEE46E6"/>
    <w:lvl w:ilvl="0" w:tentative="0">
      <w:start w:val="2"/>
      <w:numFmt w:val="chineseCounting"/>
      <w:suff w:val="nothing"/>
      <w:lvlText w:val="（%1）"/>
      <w:lvlJc w:val="left"/>
      <w:rPr>
        <w:rFonts w:hint="eastAsia"/>
      </w:rPr>
    </w:lvl>
  </w:abstractNum>
  <w:abstractNum w:abstractNumId="5">
    <w:nsid w:val="0FFFFF7E"/>
    <w:multiLevelType w:val="singleLevel"/>
    <w:tmpl w:val="0FFFFF7E"/>
    <w:lvl w:ilvl="0" w:tentative="0">
      <w:start w:val="1"/>
      <w:numFmt w:val="decimal"/>
      <w:lvlText w:val="%1."/>
      <w:lvlJc w:val="left"/>
      <w:pPr>
        <w:tabs>
          <w:tab w:val="left" w:pos="1200"/>
        </w:tabs>
        <w:ind w:left="1200" w:hanging="360"/>
      </w:pPr>
    </w:lvl>
  </w:abstractNum>
  <w:abstractNum w:abstractNumId="6">
    <w:nsid w:val="0FFFFF7F"/>
    <w:multiLevelType w:val="singleLevel"/>
    <w:tmpl w:val="0FFFFF7F"/>
    <w:lvl w:ilvl="0" w:tentative="0">
      <w:start w:val="1"/>
      <w:numFmt w:val="decimal"/>
      <w:lvlText w:val="%1."/>
      <w:lvlJc w:val="left"/>
      <w:pPr>
        <w:tabs>
          <w:tab w:val="left" w:pos="780"/>
        </w:tabs>
        <w:ind w:left="780" w:hanging="360"/>
      </w:pPr>
    </w:lvl>
  </w:abstractNum>
  <w:abstractNum w:abstractNumId="7">
    <w:nsid w:val="14D60822"/>
    <w:multiLevelType w:val="singleLevel"/>
    <w:tmpl w:val="14D60822"/>
    <w:lvl w:ilvl="0" w:tentative="0">
      <w:start w:val="1"/>
      <w:numFmt w:val="decimal"/>
      <w:suff w:val="nothing"/>
      <w:lvlText w:val="%1．"/>
      <w:lvlJc w:val="left"/>
      <w:pPr>
        <w:ind w:left="0" w:firstLine="400"/>
      </w:pPr>
      <w:rPr>
        <w:rFonts w:hint="default"/>
        <w:sz w:val="21"/>
        <w:szCs w:val="21"/>
      </w:rPr>
    </w:lvl>
  </w:abstractNum>
  <w:abstractNum w:abstractNumId="8">
    <w:nsid w:val="1774197D"/>
    <w:multiLevelType w:val="singleLevel"/>
    <w:tmpl w:val="1774197D"/>
    <w:lvl w:ilvl="0" w:tentative="0">
      <w:start w:val="1"/>
      <w:numFmt w:val="decimal"/>
      <w:suff w:val="nothing"/>
      <w:lvlText w:val="%1．"/>
      <w:lvlJc w:val="left"/>
      <w:pPr>
        <w:ind w:left="0" w:firstLine="400"/>
      </w:pPr>
      <w:rPr>
        <w:rFonts w:hint="default"/>
        <w:sz w:val="21"/>
        <w:szCs w:val="21"/>
      </w:rPr>
    </w:lvl>
  </w:abstractNum>
  <w:abstractNum w:abstractNumId="9">
    <w:nsid w:val="1AFAFA8B"/>
    <w:multiLevelType w:val="singleLevel"/>
    <w:tmpl w:val="1AFAFA8B"/>
    <w:lvl w:ilvl="0" w:tentative="0">
      <w:start w:val="1"/>
      <w:numFmt w:val="decimal"/>
      <w:suff w:val="nothing"/>
      <w:lvlText w:val="%1．"/>
      <w:lvlJc w:val="left"/>
      <w:pPr>
        <w:ind w:left="0" w:firstLine="400"/>
      </w:pPr>
      <w:rPr>
        <w:rFonts w:hint="default"/>
      </w:rPr>
    </w:lvl>
  </w:abstractNum>
  <w:abstractNum w:abstractNumId="10">
    <w:nsid w:val="290D7148"/>
    <w:multiLevelType w:val="singleLevel"/>
    <w:tmpl w:val="290D7148"/>
    <w:lvl w:ilvl="0" w:tentative="0">
      <w:start w:val="2"/>
      <w:numFmt w:val="decimal"/>
      <w:suff w:val="nothing"/>
      <w:lvlText w:val="（%1）"/>
      <w:lvlJc w:val="left"/>
    </w:lvl>
  </w:abstractNum>
  <w:abstractNum w:abstractNumId="11">
    <w:nsid w:val="2C5917C3"/>
    <w:multiLevelType w:val="multilevel"/>
    <w:tmpl w:val="2C5917C3"/>
    <w:lvl w:ilvl="0" w:tentative="0">
      <w:start w:val="1"/>
      <w:numFmt w:val="none"/>
      <w:pStyle w:val="54"/>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12">
    <w:nsid w:val="370E46EC"/>
    <w:multiLevelType w:val="singleLevel"/>
    <w:tmpl w:val="370E46EC"/>
    <w:lvl w:ilvl="0" w:tentative="0">
      <w:start w:val="1"/>
      <w:numFmt w:val="decimal"/>
      <w:suff w:val="nothing"/>
      <w:lvlText w:val="%1．"/>
      <w:lvlJc w:val="left"/>
      <w:pPr>
        <w:ind w:left="0" w:firstLine="400"/>
      </w:pPr>
      <w:rPr>
        <w:rFonts w:hint="default"/>
        <w:sz w:val="21"/>
        <w:szCs w:val="21"/>
      </w:rPr>
    </w:lvl>
  </w:abstractNum>
  <w:abstractNum w:abstractNumId="13">
    <w:nsid w:val="44C50F90"/>
    <w:multiLevelType w:val="multilevel"/>
    <w:tmpl w:val="44C50F90"/>
    <w:lvl w:ilvl="0" w:tentative="0">
      <w:start w:val="1"/>
      <w:numFmt w:val="lowerLetter"/>
      <w:pStyle w:val="49"/>
      <w:lvlText w:val="%1)"/>
      <w:lvlJc w:val="left"/>
      <w:pPr>
        <w:tabs>
          <w:tab w:val="left" w:pos="851"/>
        </w:tabs>
        <w:ind w:left="851" w:hanging="426"/>
      </w:pPr>
      <w:rPr>
        <w:rFonts w:hint="eastAsia" w:ascii="宋体" w:hAnsi="Times New Roman" w:eastAsia="宋体"/>
        <w:sz w:val="21"/>
      </w:rPr>
    </w:lvl>
    <w:lvl w:ilvl="1" w:tentative="0">
      <w:start w:val="1"/>
      <w:numFmt w:val="decimal"/>
      <w:pStyle w:val="47"/>
      <w:lvlText w:val="%2)"/>
      <w:lvlJc w:val="left"/>
      <w:pPr>
        <w:tabs>
          <w:tab w:val="left" w:pos="1276"/>
        </w:tabs>
        <w:ind w:left="1276" w:hanging="425"/>
      </w:pPr>
      <w:rPr>
        <w:rFonts w:hint="eastAsia" w:ascii="宋体" w:hAnsi="Times New Roman" w:eastAsia="宋体"/>
        <w:sz w:val="21"/>
      </w:rPr>
    </w:lvl>
    <w:lvl w:ilvl="2" w:tentative="0">
      <w:start w:val="1"/>
      <w:numFmt w:val="decimal"/>
      <w:pStyle w:val="4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506FD8DD"/>
    <w:multiLevelType w:val="singleLevel"/>
    <w:tmpl w:val="506FD8DD"/>
    <w:lvl w:ilvl="0" w:tentative="0">
      <w:start w:val="1"/>
      <w:numFmt w:val="decimal"/>
      <w:suff w:val="nothing"/>
      <w:lvlText w:val="%1．"/>
      <w:lvlJc w:val="left"/>
      <w:pPr>
        <w:ind w:left="0" w:firstLine="400"/>
      </w:pPr>
      <w:rPr>
        <w:rFonts w:hint="default"/>
        <w:sz w:val="21"/>
        <w:szCs w:val="21"/>
      </w:rPr>
    </w:lvl>
  </w:abstractNum>
  <w:abstractNum w:abstractNumId="15">
    <w:nsid w:val="5A9B6960"/>
    <w:multiLevelType w:val="multilevel"/>
    <w:tmpl w:val="5A9B6960"/>
    <w:lvl w:ilvl="0" w:tentative="0">
      <w:start w:val="1"/>
      <w:numFmt w:val="none"/>
      <w:pStyle w:val="37"/>
      <w:suff w:val="nothing"/>
      <w:lvlText w:val="%1"/>
      <w:legacy w:legacy="1" w:legacySpace="0" w:legacyIndent="0"/>
      <w:lvlJc w:val="left"/>
      <w:pPr>
        <w:ind w:left="0" w:firstLine="0"/>
      </w:pPr>
      <w:rPr>
        <w:rFonts w:hint="eastAsia"/>
      </w:rPr>
    </w:lvl>
    <w:lvl w:ilvl="1" w:tentative="0">
      <w:start w:val="1"/>
      <w:numFmt w:val="decimal"/>
      <w:pStyle w:val="31"/>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3"/>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39"/>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8"/>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6"/>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16">
    <w:nsid w:val="5B95EBE7"/>
    <w:multiLevelType w:val="singleLevel"/>
    <w:tmpl w:val="5B95EBE7"/>
    <w:lvl w:ilvl="0" w:tentative="0">
      <w:start w:val="3"/>
      <w:numFmt w:val="decimal"/>
      <w:suff w:val="nothing"/>
      <w:lvlText w:val="（%1）"/>
      <w:lvlJc w:val="left"/>
    </w:lvl>
  </w:abstractNum>
  <w:abstractNum w:abstractNumId="17">
    <w:nsid w:val="65C1C3F2"/>
    <w:multiLevelType w:val="singleLevel"/>
    <w:tmpl w:val="65C1C3F2"/>
    <w:lvl w:ilvl="0" w:tentative="0">
      <w:start w:val="1"/>
      <w:numFmt w:val="decimal"/>
      <w:suff w:val="nothing"/>
      <w:lvlText w:val="%1．"/>
      <w:lvlJc w:val="left"/>
      <w:pPr>
        <w:ind w:left="0" w:firstLine="400"/>
      </w:pPr>
      <w:rPr>
        <w:rFonts w:hint="default"/>
        <w:sz w:val="21"/>
        <w:szCs w:val="21"/>
      </w:rPr>
    </w:lvl>
  </w:abstractNum>
  <w:abstractNum w:abstractNumId="18">
    <w:nsid w:val="6DBF04F4"/>
    <w:multiLevelType w:val="multilevel"/>
    <w:tmpl w:val="6DBF04F4"/>
    <w:lvl w:ilvl="0" w:tentative="0">
      <w:start w:val="1"/>
      <w:numFmt w:val="none"/>
      <w:pStyle w:val="5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9">
    <w:nsid w:val="76EB6E43"/>
    <w:multiLevelType w:val="singleLevel"/>
    <w:tmpl w:val="76EB6E43"/>
    <w:lvl w:ilvl="0" w:tentative="0">
      <w:start w:val="1"/>
      <w:numFmt w:val="bullet"/>
      <w:lvlText w:val=""/>
      <w:lvlJc w:val="left"/>
      <w:pPr>
        <w:ind w:left="420" w:hanging="420"/>
      </w:pPr>
      <w:rPr>
        <w:rFonts w:hint="default" w:ascii="Wingdings" w:hAnsi="Wingdings"/>
      </w:rPr>
    </w:lvl>
  </w:abstractNum>
  <w:abstractNum w:abstractNumId="20">
    <w:nsid w:val="79C2D639"/>
    <w:multiLevelType w:val="singleLevel"/>
    <w:tmpl w:val="79C2D639"/>
    <w:lvl w:ilvl="0" w:tentative="0">
      <w:start w:val="1"/>
      <w:numFmt w:val="decimal"/>
      <w:suff w:val="nothing"/>
      <w:lvlText w:val="%1．"/>
      <w:lvlJc w:val="left"/>
      <w:pPr>
        <w:ind w:left="0" w:firstLine="400"/>
      </w:pPr>
      <w:rPr>
        <w:rFonts w:hint="default"/>
        <w:sz w:val="21"/>
        <w:szCs w:val="21"/>
      </w:rPr>
    </w:lvl>
  </w:abstractNum>
  <w:num w:numId="1">
    <w:abstractNumId w:val="15"/>
  </w:num>
  <w:num w:numId="2">
    <w:abstractNumId w:val="1"/>
  </w:num>
  <w:num w:numId="3">
    <w:abstractNumId w:val="6"/>
  </w:num>
  <w:num w:numId="4">
    <w:abstractNumId w:val="5"/>
  </w:num>
  <w:num w:numId="5">
    <w:abstractNumId w:val="13"/>
  </w:num>
  <w:num w:numId="6">
    <w:abstractNumId w:val="11"/>
  </w:num>
  <w:num w:numId="7">
    <w:abstractNumId w:val="18"/>
  </w:num>
  <w:num w:numId="8">
    <w:abstractNumId w:val="3"/>
  </w:num>
  <w:num w:numId="9">
    <w:abstractNumId w:val="4"/>
  </w:num>
  <w:num w:numId="10">
    <w:abstractNumId w:val="10"/>
  </w:num>
  <w:num w:numId="11">
    <w:abstractNumId w:val="9"/>
  </w:num>
  <w:num w:numId="12">
    <w:abstractNumId w:val="7"/>
  </w:num>
  <w:num w:numId="13">
    <w:abstractNumId w:val="17"/>
  </w:num>
  <w:num w:numId="14">
    <w:abstractNumId w:val="16"/>
  </w:num>
  <w:num w:numId="15">
    <w:abstractNumId w:val="14"/>
  </w:num>
  <w:num w:numId="16">
    <w:abstractNumId w:val="12"/>
  </w:num>
  <w:num w:numId="17">
    <w:abstractNumId w:val="8"/>
  </w:num>
  <w:num w:numId="18">
    <w:abstractNumId w:val="0"/>
  </w:num>
  <w:num w:numId="19">
    <w:abstractNumId w:val="2"/>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5YTk2NWU3OTRhNTU0YjZlNWE0ODExMjY4YzM0MTg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DC2156"/>
    <w:rsid w:val="03CC3F79"/>
    <w:rsid w:val="05B55C2C"/>
    <w:rsid w:val="05CD222A"/>
    <w:rsid w:val="06084616"/>
    <w:rsid w:val="06A9292B"/>
    <w:rsid w:val="08EF7A39"/>
    <w:rsid w:val="09E73A6B"/>
    <w:rsid w:val="0A5844F0"/>
    <w:rsid w:val="0CAF10B8"/>
    <w:rsid w:val="0EE41D10"/>
    <w:rsid w:val="11386E78"/>
    <w:rsid w:val="11B73ED3"/>
    <w:rsid w:val="11DF729D"/>
    <w:rsid w:val="12277661"/>
    <w:rsid w:val="133D4C82"/>
    <w:rsid w:val="13D12EE6"/>
    <w:rsid w:val="13EE1CEA"/>
    <w:rsid w:val="13F37300"/>
    <w:rsid w:val="174D6D27"/>
    <w:rsid w:val="18CE5C46"/>
    <w:rsid w:val="1A2A2D28"/>
    <w:rsid w:val="1A611AD4"/>
    <w:rsid w:val="1B9C64CF"/>
    <w:rsid w:val="1BFF022A"/>
    <w:rsid w:val="1E4A1472"/>
    <w:rsid w:val="1E6C7E3E"/>
    <w:rsid w:val="20346CD6"/>
    <w:rsid w:val="203E6C0D"/>
    <w:rsid w:val="206E043A"/>
    <w:rsid w:val="21B75E11"/>
    <w:rsid w:val="225E630E"/>
    <w:rsid w:val="2443573A"/>
    <w:rsid w:val="25496D80"/>
    <w:rsid w:val="26084E8D"/>
    <w:rsid w:val="27095D8A"/>
    <w:rsid w:val="277B51EB"/>
    <w:rsid w:val="279E6744"/>
    <w:rsid w:val="2AB253C7"/>
    <w:rsid w:val="2BAD2B02"/>
    <w:rsid w:val="2C6C6F3C"/>
    <w:rsid w:val="2E0C3040"/>
    <w:rsid w:val="2E40384E"/>
    <w:rsid w:val="2E826991"/>
    <w:rsid w:val="2F083808"/>
    <w:rsid w:val="2F0B058C"/>
    <w:rsid w:val="2F7C5FA4"/>
    <w:rsid w:val="2FDD0EDC"/>
    <w:rsid w:val="344833B2"/>
    <w:rsid w:val="346F5A63"/>
    <w:rsid w:val="35146A33"/>
    <w:rsid w:val="39CD7B28"/>
    <w:rsid w:val="3B8B166F"/>
    <w:rsid w:val="3D6C58AA"/>
    <w:rsid w:val="3F976E21"/>
    <w:rsid w:val="403F2E01"/>
    <w:rsid w:val="406647BC"/>
    <w:rsid w:val="42DA7650"/>
    <w:rsid w:val="431A1904"/>
    <w:rsid w:val="45413951"/>
    <w:rsid w:val="46E47FFF"/>
    <w:rsid w:val="4779601E"/>
    <w:rsid w:val="488241D3"/>
    <w:rsid w:val="493E1AE1"/>
    <w:rsid w:val="4B2238EC"/>
    <w:rsid w:val="4C6C7CEB"/>
    <w:rsid w:val="4DDD59C1"/>
    <w:rsid w:val="50370ABF"/>
    <w:rsid w:val="51FB0B52"/>
    <w:rsid w:val="52F178A4"/>
    <w:rsid w:val="52FDF3F3"/>
    <w:rsid w:val="531F075A"/>
    <w:rsid w:val="53F87A3F"/>
    <w:rsid w:val="5529794D"/>
    <w:rsid w:val="56DA342C"/>
    <w:rsid w:val="5708A920"/>
    <w:rsid w:val="57462870"/>
    <w:rsid w:val="57A01936"/>
    <w:rsid w:val="57A57FD6"/>
    <w:rsid w:val="57F01F2D"/>
    <w:rsid w:val="58D367F3"/>
    <w:rsid w:val="592B4413"/>
    <w:rsid w:val="592C1295"/>
    <w:rsid w:val="59DD74BB"/>
    <w:rsid w:val="5A8C449C"/>
    <w:rsid w:val="5B3C7FEA"/>
    <w:rsid w:val="5B571FFB"/>
    <w:rsid w:val="5B8C421A"/>
    <w:rsid w:val="5BD06662"/>
    <w:rsid w:val="5BFB00CD"/>
    <w:rsid w:val="5C452F47"/>
    <w:rsid w:val="5D086F45"/>
    <w:rsid w:val="5D4D6706"/>
    <w:rsid w:val="5E8C2041"/>
    <w:rsid w:val="60252B89"/>
    <w:rsid w:val="613750A2"/>
    <w:rsid w:val="616C2448"/>
    <w:rsid w:val="63057E95"/>
    <w:rsid w:val="63DF2082"/>
    <w:rsid w:val="654A16B4"/>
    <w:rsid w:val="660F1D12"/>
    <w:rsid w:val="67277FC8"/>
    <w:rsid w:val="677C2407"/>
    <w:rsid w:val="68C47A98"/>
    <w:rsid w:val="68C53F3C"/>
    <w:rsid w:val="6AD40467"/>
    <w:rsid w:val="6CC80E6D"/>
    <w:rsid w:val="710B6BAC"/>
    <w:rsid w:val="71525B1E"/>
    <w:rsid w:val="716444DA"/>
    <w:rsid w:val="71CC633B"/>
    <w:rsid w:val="71F238C8"/>
    <w:rsid w:val="738A5B9F"/>
    <w:rsid w:val="739764D5"/>
    <w:rsid w:val="741F6AAA"/>
    <w:rsid w:val="74A0585D"/>
    <w:rsid w:val="763864CA"/>
    <w:rsid w:val="764D461B"/>
    <w:rsid w:val="775957A7"/>
    <w:rsid w:val="77A7157C"/>
    <w:rsid w:val="77D048EE"/>
    <w:rsid w:val="78B143BF"/>
    <w:rsid w:val="7A035425"/>
    <w:rsid w:val="7AB465B7"/>
    <w:rsid w:val="7B215011"/>
    <w:rsid w:val="7CB63E70"/>
    <w:rsid w:val="7D221505"/>
    <w:rsid w:val="7E2B6198"/>
    <w:rsid w:val="7EF26A8C"/>
    <w:rsid w:val="B8CFA9F0"/>
    <w:rsid w:val="B9EE8E15"/>
    <w:rsid w:val="BDFFEC67"/>
    <w:rsid w:val="DFFD0EE9"/>
    <w:rsid w:val="EBDF77FB"/>
    <w:rsid w:val="FB7F6E02"/>
    <w:rsid w:val="FBFFF8E5"/>
    <w:rsid w:val="FDAB63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paragraph" w:styleId="5">
    <w:name w:val="heading 7"/>
    <w:basedOn w:val="1"/>
    <w:next w:val="1"/>
    <w:link w:val="23"/>
    <w:qFormat/>
    <w:uiPriority w:val="9"/>
    <w:pPr>
      <w:keepNext/>
      <w:keepLines/>
      <w:spacing w:before="240" w:after="64" w:line="320" w:lineRule="auto"/>
      <w:outlineLvl w:val="6"/>
    </w:pPr>
    <w:rPr>
      <w:b/>
      <w:bCs/>
      <w:sz w:val="24"/>
    </w:rPr>
  </w:style>
  <w:style w:type="character" w:default="1" w:styleId="15">
    <w:name w:val="Default Paragraph Font"/>
    <w:qFormat/>
    <w:uiPriority w:val="0"/>
  </w:style>
  <w:style w:type="table" w:default="1" w:styleId="13">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6">
    <w:name w:val="annotation text"/>
    <w:basedOn w:val="1"/>
    <w:link w:val="24"/>
    <w:unhideWhenUsed/>
    <w:qFormat/>
    <w:uiPriority w:val="99"/>
    <w:pPr>
      <w:adjustRightInd w:val="0"/>
      <w:spacing w:line="400" w:lineRule="exact"/>
      <w:jc w:val="left"/>
    </w:pPr>
    <w:rPr>
      <w:rFonts w:ascii="Calibri" w:hAnsi="Calibri"/>
      <w:szCs w:val="21"/>
    </w:rPr>
  </w:style>
  <w:style w:type="paragraph" w:styleId="7">
    <w:name w:val="Balloon Text"/>
    <w:basedOn w:val="1"/>
    <w:link w:val="25"/>
    <w:unhideWhenUsed/>
    <w:qFormat/>
    <w:uiPriority w:val="99"/>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Times New Roman" w:hAnsi="Times New Roman"/>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4"/>
    <w:basedOn w:val="1"/>
    <w:next w:val="1"/>
    <w:unhideWhenUsed/>
    <w:qFormat/>
    <w:uiPriority w:val="39"/>
    <w:pPr>
      <w:tabs>
        <w:tab w:val="right" w:leader="dot" w:pos="9344"/>
      </w:tabs>
      <w:adjustRightInd w:val="0"/>
      <w:spacing w:line="300" w:lineRule="exact"/>
      <w:ind w:left="629"/>
    </w:pPr>
    <w:rPr>
      <w:rFonts w:ascii="宋体" w:hAnsi="Calibri"/>
      <w:szCs w:val="21"/>
    </w:rPr>
  </w:style>
  <w:style w:type="paragraph" w:styleId="12">
    <w:name w:val="Normal (Web)"/>
    <w:basedOn w:val="1"/>
    <w:semiHidden/>
    <w:unhideWhenUsed/>
    <w:qFormat/>
    <w:uiPriority w:val="99"/>
    <w:rPr>
      <w:sz w:val="24"/>
    </w:rPr>
  </w:style>
  <w:style w:type="table" w:styleId="14">
    <w:name w:val="Table Grid"/>
    <w:basedOn w:val="13"/>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6">
    <w:name w:val="Strong"/>
    <w:basedOn w:val="15"/>
    <w:qFormat/>
    <w:uiPriority w:val="22"/>
    <w:rPr>
      <w:b/>
    </w:rPr>
  </w:style>
  <w:style w:type="character" w:styleId="17">
    <w:name w:val="line number"/>
    <w:qFormat/>
    <w:uiPriority w:val="0"/>
  </w:style>
  <w:style w:type="character" w:styleId="18">
    <w:name w:val="Hyperlink"/>
    <w:qFormat/>
    <w:uiPriority w:val="0"/>
    <w:rPr>
      <w:rFonts w:ascii="宋体" w:eastAsia="宋体"/>
      <w:color w:val="auto"/>
      <w:spacing w:val="0"/>
      <w:w w:val="100"/>
      <w:position w:val="0"/>
      <w:sz w:val="21"/>
      <w:u w:val="none"/>
      <w:vertAlign w:val="baseline"/>
    </w:rPr>
  </w:style>
  <w:style w:type="character" w:styleId="19">
    <w:name w:val="annotation reference"/>
    <w:qFormat/>
    <w:uiPriority w:val="99"/>
    <w:rPr>
      <w:sz w:val="21"/>
    </w:rPr>
  </w:style>
  <w:style w:type="character" w:styleId="20">
    <w:name w:val="footnote reference"/>
    <w:qFormat/>
    <w:uiPriority w:val="0"/>
    <w:rPr>
      <w:vertAlign w:val="superscript"/>
    </w:rPr>
  </w:style>
  <w:style w:type="paragraph" w:customStyle="1" w:styleId="21">
    <w:name w:val="BodyText2"/>
    <w:basedOn w:val="1"/>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2">
    <w:name w:val="正文-公1"/>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3">
    <w:name w:val="标题 7 字符"/>
    <w:link w:val="5"/>
    <w:qFormat/>
    <w:uiPriority w:val="0"/>
    <w:rPr>
      <w:rFonts w:eastAsia="宋体"/>
      <w:b/>
      <w:bCs/>
      <w:kern w:val="2"/>
      <w:sz w:val="24"/>
      <w:szCs w:val="24"/>
    </w:rPr>
  </w:style>
  <w:style w:type="character" w:customStyle="1" w:styleId="24">
    <w:name w:val="批注文字 字符"/>
    <w:link w:val="6"/>
    <w:semiHidden/>
    <w:qFormat/>
    <w:uiPriority w:val="99"/>
    <w:rPr>
      <w:rFonts w:ascii="Calibri" w:hAnsi="Calibri" w:eastAsia="宋体"/>
      <w:kern w:val="2"/>
      <w:sz w:val="21"/>
      <w:szCs w:val="21"/>
    </w:rPr>
  </w:style>
  <w:style w:type="character" w:customStyle="1" w:styleId="25">
    <w:name w:val="批注框文本 字符"/>
    <w:link w:val="7"/>
    <w:semiHidden/>
    <w:qFormat/>
    <w:uiPriority w:val="99"/>
    <w:rPr>
      <w:rFonts w:eastAsia="宋体"/>
      <w:kern w:val="2"/>
      <w:sz w:val="18"/>
      <w:szCs w:val="18"/>
    </w:rPr>
  </w:style>
  <w:style w:type="character" w:customStyle="1" w:styleId="26">
    <w:name w:val="页脚 字符"/>
    <w:link w:val="8"/>
    <w:qFormat/>
    <w:locked/>
    <w:uiPriority w:val="99"/>
    <w:rPr>
      <w:rFonts w:eastAsia="宋体"/>
      <w:kern w:val="2"/>
      <w:sz w:val="18"/>
      <w:szCs w:val="18"/>
    </w:rPr>
  </w:style>
  <w:style w:type="paragraph" w:customStyle="1" w:styleId="27">
    <w:name w:val="其他标准称谓"/>
    <w:qFormat/>
    <w:uiPriority w:val="0"/>
    <w:pPr>
      <w:spacing w:line="0" w:lineRule="atLeast"/>
      <w:jc w:val="distribute"/>
    </w:pPr>
    <w:rPr>
      <w:rFonts w:ascii="黑体" w:hAnsi="Calibri" w:eastAsia="黑体" w:cs="Calibri"/>
      <w:sz w:val="52"/>
      <w:lang w:val="en-US" w:eastAsia="zh-CN" w:bidi="ar-SA"/>
    </w:rPr>
  </w:style>
  <w:style w:type="paragraph" w:customStyle="1" w:styleId="28">
    <w:name w:val="封面标准号1"/>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29">
    <w:name w:val="标准文件_段"/>
    <w:link w:val="30"/>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0">
    <w:name w:val="标准文件_段 Char"/>
    <w:link w:val="29"/>
    <w:qFormat/>
    <w:uiPriority w:val="0"/>
    <w:rPr>
      <w:rFonts w:ascii="宋体" w:eastAsia="宋体"/>
      <w:sz w:val="21"/>
    </w:rPr>
  </w:style>
  <w:style w:type="paragraph" w:customStyle="1" w:styleId="31">
    <w:name w:val="标准文件_章标题"/>
    <w:next w:val="29"/>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2">
    <w:name w:val="标准文件_二级条标题"/>
    <w:next w:val="29"/>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3">
    <w:name w:val="标准文件_一级条标题"/>
    <w:basedOn w:val="31"/>
    <w:next w:val="29"/>
    <w:qFormat/>
    <w:uiPriority w:val="0"/>
    <w:pPr>
      <w:numPr>
        <w:ilvl w:val="2"/>
        <w:numId w:val="1"/>
      </w:numPr>
      <w:spacing w:before="50" w:beforeLines="0" w:after="50" w:afterLines="0"/>
      <w:outlineLvl w:val="1"/>
    </w:pPr>
  </w:style>
  <w:style w:type="paragraph" w:customStyle="1" w:styleId="34">
    <w:name w:val="标准文件_三级条标题"/>
    <w:basedOn w:val="32"/>
    <w:next w:val="29"/>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5">
    <w:name w:val="标准文件_四级条标题"/>
    <w:next w:val="29"/>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6">
    <w:name w:val="标准文件_五级条标题"/>
    <w:next w:val="32"/>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7">
    <w:name w:val="前言标题"/>
    <w:next w:val="1"/>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8">
    <w:name w:val="标准文件_四级无标题"/>
    <w:basedOn w:val="35"/>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39">
    <w:name w:val="标准文件_三级无标题"/>
    <w:basedOn w:val="34"/>
    <w:qFormat/>
    <w:uiPriority w:val="0"/>
    <w:pPr>
      <w:numPr>
        <w:ilvl w:val="4"/>
        <w:numId w:val="1"/>
      </w:numPr>
      <w:spacing w:before="50" w:after="50"/>
      <w:jc w:val="both"/>
    </w:pPr>
    <w:rPr>
      <w:rFonts w:ascii="宋体" w:eastAsia="宋体"/>
      <w:sz w:val="21"/>
      <w:lang w:val="en-US" w:eastAsia="zh-CN" w:bidi="ar-SA"/>
    </w:rPr>
  </w:style>
  <w:style w:type="paragraph" w:customStyle="1" w:styleId="40">
    <w:name w:val="标准文件_正文表标题"/>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1">
    <w:name w:val="font11"/>
    <w:qFormat/>
    <w:uiPriority w:val="0"/>
    <w:rPr>
      <w:rFonts w:ascii="等线" w:eastAsia="等线"/>
      <w:b/>
      <w:bCs/>
      <w:color w:val="FF0000"/>
      <w:sz w:val="22"/>
      <w:szCs w:val="22"/>
      <w:u w:val="none"/>
    </w:rPr>
  </w:style>
  <w:style w:type="character" w:customStyle="1" w:styleId="42">
    <w:name w:val="font01"/>
    <w:qFormat/>
    <w:uiPriority w:val="0"/>
    <w:rPr>
      <w:rFonts w:ascii="等线" w:eastAsia="等线"/>
      <w:color w:val="000000"/>
      <w:sz w:val="22"/>
      <w:szCs w:val="22"/>
      <w:u w:val="none"/>
    </w:rPr>
  </w:style>
  <w:style w:type="paragraph" w:customStyle="1" w:styleId="43">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4">
    <w:name w:val="二级无"/>
    <w:basedOn w:val="1"/>
    <w:qFormat/>
    <w:uiPriority w:val="0"/>
    <w:pPr>
      <w:widowControl/>
      <w:numPr>
        <w:ilvl w:val="2"/>
        <w:numId w:val="3"/>
      </w:numPr>
      <w:tabs>
        <w:tab w:val="left" w:pos="780"/>
      </w:tabs>
      <w:jc w:val="left"/>
      <w:outlineLvl w:val="3"/>
    </w:pPr>
    <w:rPr>
      <w:rFonts w:ascii="宋体"/>
      <w:kern w:val="0"/>
      <w:szCs w:val="21"/>
    </w:rPr>
  </w:style>
  <w:style w:type="paragraph" w:customStyle="1" w:styleId="45">
    <w:name w:val="标准文件_二级无标题"/>
    <w:basedOn w:val="32"/>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6">
    <w:name w:val="Char Char Char Char"/>
    <w:basedOn w:val="1"/>
    <w:qFormat/>
    <w:uiPriority w:val="0"/>
  </w:style>
  <w:style w:type="paragraph" w:customStyle="1" w:styleId="47">
    <w:name w:val="标准文件_数字编号列项（二级）"/>
    <w:qFormat/>
    <w:uiPriority w:val="0"/>
    <w:pPr>
      <w:numPr>
        <w:ilvl w:val="1"/>
        <w:numId w:val="5"/>
      </w:numPr>
      <w:jc w:val="both"/>
    </w:pPr>
    <w:rPr>
      <w:rFonts w:ascii="宋体" w:hAnsi="Calibri" w:eastAsia="宋体" w:cs="Calibri"/>
      <w:sz w:val="21"/>
      <w:lang w:val="en-US" w:eastAsia="zh-CN" w:bidi="ar-SA"/>
    </w:rPr>
  </w:style>
  <w:style w:type="paragraph" w:customStyle="1" w:styleId="48">
    <w:name w:val="标准文件_编号列项（三级）"/>
    <w:qFormat/>
    <w:uiPriority w:val="0"/>
    <w:pPr>
      <w:numPr>
        <w:ilvl w:val="2"/>
        <w:numId w:val="5"/>
      </w:numPr>
    </w:pPr>
    <w:rPr>
      <w:rFonts w:ascii="宋体" w:hAnsi="Calibri" w:eastAsia="宋体" w:cs="Calibri"/>
      <w:sz w:val="21"/>
      <w:lang w:val="en-US" w:eastAsia="zh-CN" w:bidi="ar-SA"/>
    </w:rPr>
  </w:style>
  <w:style w:type="paragraph" w:customStyle="1" w:styleId="49">
    <w:name w:val="标准文件_字母编号列项（一级）"/>
    <w:qFormat/>
    <w:uiPriority w:val="0"/>
    <w:pPr>
      <w:numPr>
        <w:ilvl w:val="0"/>
        <w:numId w:val="5"/>
      </w:numPr>
      <w:jc w:val="both"/>
    </w:pPr>
    <w:rPr>
      <w:rFonts w:ascii="宋体" w:hAnsi="Calibri" w:eastAsia="宋体" w:cs="Calibri"/>
      <w:sz w:val="21"/>
      <w:lang w:val="en-US" w:eastAsia="zh-CN" w:bidi="ar-SA"/>
    </w:rPr>
  </w:style>
  <w:style w:type="paragraph" w:customStyle="1" w:styleId="50">
    <w:name w:val="标准文件_术语条一"/>
    <w:basedOn w:val="1"/>
    <w:next w:val="29"/>
    <w:qFormat/>
    <w:uiPriority w:val="0"/>
    <w:pPr>
      <w:widowControl/>
    </w:pPr>
    <w:rPr>
      <w:rFonts w:ascii="宋体"/>
      <w:kern w:val="0"/>
      <w:szCs w:val="20"/>
    </w:rPr>
  </w:style>
  <w:style w:type="paragraph" w:customStyle="1" w:styleId="51">
    <w:name w:val="abstract"/>
    <w:basedOn w:val="1"/>
    <w:qFormat/>
    <w:uiPriority w:val="0"/>
    <w:pPr>
      <w:widowControl/>
      <w:spacing w:before="100" w:beforeAutospacing="1" w:after="100" w:afterAutospacing="1"/>
      <w:jc w:val="left"/>
    </w:pPr>
    <w:rPr>
      <w:rFonts w:ascii="宋体" w:hAnsi="宋体" w:cs="宋体"/>
      <w:kern w:val="0"/>
      <w:sz w:val="24"/>
    </w:rPr>
  </w:style>
  <w:style w:type="paragraph" w:customStyle="1" w:styleId="52">
    <w:name w:val="abstract_more"/>
    <w:basedOn w:val="1"/>
    <w:qFormat/>
    <w:uiPriority w:val="0"/>
    <w:pPr>
      <w:widowControl/>
      <w:spacing w:before="100" w:beforeAutospacing="1" w:after="100" w:afterAutospacing="1"/>
      <w:jc w:val="left"/>
    </w:pPr>
    <w:rPr>
      <w:rFonts w:ascii="宋体" w:hAnsi="宋体" w:cs="宋体"/>
      <w:kern w:val="0"/>
      <w:sz w:val="24"/>
    </w:rPr>
  </w:style>
  <w:style w:type="paragraph" w:styleId="53">
    <w:name w:val="No Spacing"/>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4">
    <w:name w:val="标准文件_一级项"/>
    <w:qFormat/>
    <w:uiPriority w:val="0"/>
    <w:pPr>
      <w:numPr>
        <w:ilvl w:val="0"/>
        <w:numId w:val="6"/>
      </w:numPr>
    </w:pPr>
    <w:rPr>
      <w:rFonts w:ascii="宋体" w:hAnsi="Times New Roman" w:eastAsia="宋体" w:cs="Times New Roman"/>
      <w:sz w:val="21"/>
      <w:lang w:val="en-US" w:eastAsia="zh-CN" w:bidi="ar-SA"/>
    </w:rPr>
  </w:style>
  <w:style w:type="paragraph" w:customStyle="1" w:styleId="55">
    <w:name w:val="标准文件_注："/>
    <w:next w:val="29"/>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character" w:customStyle="1" w:styleId="56">
    <w:name w:val="font21"/>
    <w:basedOn w:val="15"/>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8694</Words>
  <Characters>9067</Characters>
  <Lines>140</Lines>
  <Paragraphs>39</Paragraphs>
  <TotalTime>1</TotalTime>
  <ScaleCrop>false</ScaleCrop>
  <LinksUpToDate>false</LinksUpToDate>
  <CharactersWithSpaces>9194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2023-11-09T07:48:00Z</dcterms:created>
  <dc:creator>Administrator</dc:creator>
  <cp:lastModifiedBy>覃思颖</cp:lastModifiedBy>
  <dcterms:modified xsi:type="dcterms:W3CDTF">2025-09-24T13:15:49Z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DA97159D202343598819285C048A8876_13</vt:lpwstr>
  </property>
  <property fmtid="{D5CDD505-2E9C-101B-9397-08002B2CF9AE}" pid="4" name="KSOTemplateDocerSaveRecord">
    <vt:lpwstr>eyJoZGlkIjoiMjU4NjU2OWFmNDRjYWQ3NWE5YzYyNTg4ZjViMDI2ZWIiLCJ1c2VySWQiOiI2NTgwMDU1NDYifQ==</vt:lpwstr>
  </property>
</Properties>
</file>